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3E86A" w14:textId="580D7ED8" w:rsidR="005E623A" w:rsidRPr="0084487B" w:rsidRDefault="00C46220" w:rsidP="005E623A">
      <w:pPr>
        <w:pBdr>
          <w:top w:val="single" w:sz="4" w:space="1" w:color="auto" w:shadow="1"/>
          <w:left w:val="single" w:sz="4" w:space="4" w:color="auto" w:shadow="1"/>
          <w:bottom w:val="single" w:sz="4" w:space="1" w:color="auto" w:shadow="1"/>
          <w:right w:val="single" w:sz="4" w:space="4" w:color="auto" w:shadow="1"/>
        </w:pBdr>
        <w:jc w:val="center"/>
        <w:rPr>
          <w:b/>
        </w:rPr>
      </w:pPr>
      <w:r>
        <w:rPr>
          <w:b/>
        </w:rPr>
        <w:t>Storia dell’ermeneutica biblica</w:t>
      </w:r>
      <w:r w:rsidR="00212C78">
        <w:rPr>
          <w:b/>
        </w:rPr>
        <w:t xml:space="preserve"> </w:t>
      </w:r>
    </w:p>
    <w:p w14:paraId="7A17DCDB" w14:textId="77777777" w:rsidR="005E623A" w:rsidRPr="0069611B" w:rsidRDefault="0069611B" w:rsidP="0069611B">
      <w:pPr>
        <w:jc w:val="right"/>
        <w:rPr>
          <w:smallCaps/>
          <w:sz w:val="20"/>
          <w:szCs w:val="20"/>
        </w:rPr>
      </w:pPr>
      <w:r>
        <w:rPr>
          <w:smallCaps/>
          <w:sz w:val="20"/>
          <w:szCs w:val="20"/>
        </w:rPr>
        <w:t>Romanello Stefano</w:t>
      </w:r>
    </w:p>
    <w:p w14:paraId="0080C02A" w14:textId="77777777" w:rsidR="0069611B" w:rsidRDefault="0069611B" w:rsidP="005E623A"/>
    <w:p w14:paraId="6658AF72" w14:textId="77777777" w:rsidR="001D063D" w:rsidRDefault="005E623A" w:rsidP="005E623A">
      <w:pPr>
        <w:jc w:val="center"/>
        <w:rPr>
          <w:b/>
        </w:rPr>
      </w:pPr>
      <w:r>
        <w:rPr>
          <w:b/>
        </w:rPr>
        <w:t>L’interpretazione della Bibbia nello Spirito. Antologia di testi magisteriali</w:t>
      </w:r>
    </w:p>
    <w:p w14:paraId="734F9E59" w14:textId="77777777" w:rsidR="005E623A" w:rsidRDefault="005E623A" w:rsidP="005E623A">
      <w:pPr>
        <w:jc w:val="center"/>
        <w:rPr>
          <w:b/>
        </w:rPr>
      </w:pPr>
    </w:p>
    <w:p w14:paraId="507AC440" w14:textId="77777777" w:rsidR="005E623A" w:rsidRDefault="005E623A" w:rsidP="005E623A">
      <w:pPr>
        <w:pStyle w:val="Sottotitolo"/>
        <w:rPr>
          <w:i/>
          <w:szCs w:val="28"/>
        </w:rPr>
      </w:pPr>
      <w:r>
        <w:rPr>
          <w:szCs w:val="28"/>
        </w:rPr>
        <w:t xml:space="preserve">COSTITUZIONE </w:t>
      </w:r>
      <w:r>
        <w:rPr>
          <w:i/>
          <w:szCs w:val="28"/>
        </w:rPr>
        <w:t>DEI VERBUM § 12</w:t>
      </w:r>
    </w:p>
    <w:p w14:paraId="10C7B846" w14:textId="77777777" w:rsidR="005E623A" w:rsidRDefault="005E623A" w:rsidP="005E623A">
      <w:pPr>
        <w:pStyle w:val="NormaleWeb"/>
        <w:spacing w:before="0" w:beforeAutospacing="0" w:after="0" w:afterAutospacing="0"/>
      </w:pPr>
      <w:r>
        <w:t>Poiché Dio nella sacra Scrittura ha parlato per mezzo di uomini alla maniera umana (22), l'interprete della sacra Scrittura, per capir bene ciò che egli ha voluto comunicarci, deve ricercare con attenzione che cosa gli agiografi abbiano veramente voluto dire e a Dio è piaciuto manifestare con le loro parole.</w:t>
      </w:r>
    </w:p>
    <w:p w14:paraId="58F513EB" w14:textId="77777777" w:rsidR="005E623A" w:rsidRDefault="005E623A" w:rsidP="005E623A">
      <w:pPr>
        <w:pStyle w:val="NormaleWeb"/>
        <w:spacing w:before="0" w:beforeAutospacing="0" w:after="0" w:afterAutospacing="0"/>
      </w:pPr>
      <w:r>
        <w:t>….</w:t>
      </w:r>
    </w:p>
    <w:p w14:paraId="4D0A0AF1" w14:textId="77777777" w:rsidR="005E623A" w:rsidRDefault="005E623A" w:rsidP="005E623A">
      <w:pPr>
        <w:pStyle w:val="NormaleWeb"/>
        <w:spacing w:before="0" w:beforeAutospacing="0" w:after="0" w:afterAutospacing="0"/>
      </w:pPr>
      <w:r>
        <w:t xml:space="preserve">Però, dovendo la sacra Scrittura esser letta e interpretata alla luce dello stesso Spirito mediante il quale è stata scritta (25), per ricavare con esattezza il senso dei sacri testi, si deve badare con non minore diligenza al contenuto e all'unità di tutta la Scrittura, tenuto debito conto della viva tradizione di tutta la Chiesa e dell'analogia della fede. </w:t>
      </w:r>
    </w:p>
    <w:p w14:paraId="1552A0F6" w14:textId="77777777" w:rsidR="005E623A" w:rsidRDefault="005E623A" w:rsidP="005E623A"/>
    <w:p w14:paraId="1DF5B5F1" w14:textId="77777777" w:rsidR="005E623A" w:rsidRDefault="005E623A" w:rsidP="005E623A">
      <w:pPr>
        <w:pStyle w:val="Sottotitolo"/>
        <w:rPr>
          <w:i/>
        </w:rPr>
      </w:pPr>
      <w:r>
        <w:t xml:space="preserve">DOCUMENTO PCB </w:t>
      </w:r>
      <w:r>
        <w:rPr>
          <w:i/>
        </w:rPr>
        <w:t>L’INTERPRETAZIONE DELLA BIBBIA…§ II.B</w:t>
      </w:r>
    </w:p>
    <w:p w14:paraId="76519758" w14:textId="77777777" w:rsidR="002645F3" w:rsidRDefault="002645F3" w:rsidP="002645F3">
      <w:pPr>
        <w:pStyle w:val="NormaleWeb"/>
        <w:spacing w:before="0" w:beforeAutospacing="0" w:after="60" w:afterAutospacing="0"/>
      </w:pPr>
      <w:r>
        <w:rPr>
          <w:i/>
          <w:iCs/>
        </w:rPr>
        <w:t>1. Senso letterale</w:t>
      </w:r>
    </w:p>
    <w:p w14:paraId="3327FF09" w14:textId="77777777" w:rsidR="002645F3" w:rsidRDefault="002645F3" w:rsidP="002645F3">
      <w:pPr>
        <w:pStyle w:val="NormaleWeb"/>
        <w:spacing w:before="0" w:beforeAutospacing="0" w:after="0" w:afterAutospacing="0"/>
      </w:pPr>
      <w:r>
        <w:t xml:space="preserve">Non è solo legittimo, ma indispensabile cercare di definire il significato preciso dei testi come sono stati composti dai loro autori significato che è chiamato “letterale”. Già san Tommaso d’Aquino ne affermava l’importanza fondamentale (S. Th., I, q. 1, a. 10, ad 1). </w:t>
      </w:r>
    </w:p>
    <w:p w14:paraId="206FBDAF" w14:textId="77777777" w:rsidR="002645F3" w:rsidRDefault="002645F3" w:rsidP="002645F3">
      <w:pPr>
        <w:pStyle w:val="NormaleWeb"/>
        <w:spacing w:before="0" w:beforeAutospacing="0" w:after="0" w:afterAutospacing="0"/>
      </w:pPr>
      <w:r>
        <w:t>Il senso letterale non è da confondere col senso “</w:t>
      </w:r>
      <w:proofErr w:type="spellStart"/>
      <w:r>
        <w:t>letteralistico</w:t>
      </w:r>
      <w:proofErr w:type="spellEnd"/>
      <w:r>
        <w:t>”, sul quale si basano i fondamentalisti. Non è sufficiente tradurre il testo parola per parola per ottenere il suo senso letterale. È necessario comprenderlo secondo le convenzioni letterarie del tempo …</w:t>
      </w:r>
    </w:p>
    <w:p w14:paraId="79CCAC00" w14:textId="77777777" w:rsidR="002645F3" w:rsidRDefault="002645F3" w:rsidP="002645F3">
      <w:pPr>
        <w:pStyle w:val="NormaleWeb"/>
        <w:spacing w:before="0" w:beforeAutospacing="0" w:after="0" w:afterAutospacing="0"/>
      </w:pPr>
      <w:r>
        <w:t>Il senso letterale della Scrittura è quello espresso direttamente dagli autori umani ispirati. Essendo frutto dell’ispirazione, questo senso è voluto anche da Dio, autore principale. Lo si discerne grazie a un’analisi precisa del testo, situato nel suo contesto letterario e storico…</w:t>
      </w:r>
    </w:p>
    <w:p w14:paraId="3BEF7C81" w14:textId="77777777" w:rsidR="002645F3" w:rsidRDefault="002645F3" w:rsidP="002645F3">
      <w:pPr>
        <w:pStyle w:val="NormaleWeb"/>
        <w:spacing w:before="0" w:beforeAutospacing="0" w:after="0" w:afterAutospacing="0"/>
      </w:pPr>
      <w:r>
        <w:t>Una corrente dell’ermeneutica moderna ha sottolineato la differenza di situazione che colpisce la parola umana quando viene messa per iscritto. Un testo scritto ha la capacità di essere collocato in nuove circostanze, che lo illuminano in modi diversi, aggiungendo al suo significato nuove determinazioni. Questa capacità del testo scritto è effettiva specialmente nel caso dei testi biblici, riconosciuti come Parola di Dio. In effetti, ciò che ha spinto la comunità credente a conservarli è stata la convinzione che avrebbero continuato a essere portatori di luce e di vita per le generazioni future. Il senso letterale è, fin dall’inizio, aperto a sviluppi ulteriori, che si producono grazie a “riletture” in contesti nuovi.</w:t>
      </w:r>
    </w:p>
    <w:p w14:paraId="6D88281E" w14:textId="77777777" w:rsidR="002645F3" w:rsidRDefault="002645F3" w:rsidP="002645F3">
      <w:pPr>
        <w:pStyle w:val="NormaleWeb"/>
        <w:spacing w:before="0" w:beforeAutospacing="0" w:after="0" w:afterAutospacing="0"/>
      </w:pPr>
      <w:r>
        <w:t>Non ne consegue che è possibile attribuire a un testo biblico qualsiasi significato, interpretandolo in modo soggettivo. Al contrario, è necessario respingere come inautentica ogni interpretazione che fosse eterogenea rispetto al senso espresso dagli autori umani nel loro testo scritto. Ammettere dei significati eterogenei equivarrebbe a togliere al messaggio biblico le sue radici, che sono la Parola di Dio comunicata storicamente, e ad aprire la porta a un soggettivismo incontrollabile.</w:t>
      </w:r>
    </w:p>
    <w:p w14:paraId="1B77FD23" w14:textId="77777777" w:rsidR="002645F3" w:rsidRDefault="002645F3" w:rsidP="002645F3">
      <w:pPr>
        <w:pStyle w:val="NormaleWeb"/>
        <w:spacing w:before="60" w:beforeAutospacing="0" w:after="60" w:afterAutospacing="0"/>
      </w:pPr>
      <w:r>
        <w:rPr>
          <w:i/>
          <w:iCs/>
        </w:rPr>
        <w:t>2. Senso spirituale</w:t>
      </w:r>
    </w:p>
    <w:p w14:paraId="6536F377" w14:textId="77777777" w:rsidR="002645F3" w:rsidRDefault="002645F3" w:rsidP="002645F3">
      <w:pPr>
        <w:pStyle w:val="NormaleWeb"/>
        <w:spacing w:before="0" w:beforeAutospacing="0" w:after="0" w:afterAutospacing="0"/>
      </w:pPr>
      <w:r>
        <w:t>Non è il caso, tuttavia, di prendere “eterogeneo” nel senso stretto, contrario a ogni possibilità di compimento superiore. L’evento pasquale, morte e risurrezione di Gesù, ha fissato un contesto storico radicalmente nuovo, che illumina in modo nuovo i testi antichi e fa subire loro un cambiamento di significato. In particolare, alcuni testi che, nelle circostanze antiche, dovevano essere considerati come delle iperbole (per es., l’oracolo in cui Dio, parlando di un figlio di Davide, prometteva di rendere stabile per sempre il suo trono: 2Sam 7, 12-13; 1Cr 17, 11-14), questi testi devono ora essere presi alla lettera, perché «il Cristo, essendo risorto dai morti, non muore più» (</w:t>
      </w:r>
      <w:proofErr w:type="spellStart"/>
      <w:r>
        <w:t>Rm</w:t>
      </w:r>
      <w:proofErr w:type="spellEnd"/>
      <w:r>
        <w:t xml:space="preserve"> 6, 9). Gli esegeti che hanno una nozione limitata, “storicistica”, del senso letterale riterranno che ci sia qui eterogeneità. Quelli che sono aperti all’aspetto dinamico dei testi riconosceranno una </w:t>
      </w:r>
      <w:r>
        <w:lastRenderedPageBreak/>
        <w:t xml:space="preserve">continuità profonda e nello stesso tempo il passaggio a un livello differente: il Cristo regna per sempre, ma non sul trono terreno di Davide (cf. anche Sal 2, 7-8; 110, 1.4). </w:t>
      </w:r>
    </w:p>
    <w:p w14:paraId="08270E93" w14:textId="77777777" w:rsidR="002645F3" w:rsidRDefault="002645F3" w:rsidP="002645F3">
      <w:pPr>
        <w:pStyle w:val="NormaleWeb"/>
        <w:spacing w:before="0" w:beforeAutospacing="0" w:after="0" w:afterAutospacing="0"/>
      </w:pPr>
      <w:r>
        <w:t>In casi di questo genere si parla di “senso spirituale”. Come regola generale, possiamo definire il senso spirituale, compreso secondo la fede cristiana, il senso espresso dai testi biblici quando vengono letti sotto l’influsso dello Spirito Santo nel contesto del mistero pasquale di Cristo e della vita nuova che ne risulta. Questo contesto esiste effettivamente. Il Nuovo Testamento riconosce in esso il compimento delle Scritture. È perciò normale rileggere le Scritture alla luce di questo nuovo contesto, quello della vita nello Spirito.</w:t>
      </w:r>
    </w:p>
    <w:p w14:paraId="5D66D7EB" w14:textId="77777777" w:rsidR="002645F3" w:rsidRDefault="002645F3" w:rsidP="002645F3">
      <w:pPr>
        <w:pStyle w:val="NormaleWeb"/>
        <w:spacing w:before="0" w:beforeAutospacing="0" w:after="0" w:afterAutospacing="0"/>
      </w:pPr>
      <w:r>
        <w:t xml:space="preserve">Dalla definizione data si possono trarre parecchie precisazioni utili sul rapporto tra senso spirituale e senso letterale. Contrariamente a un’opinione corrente, non c’è necessariamente distinzione tra questi due sensi. Quando un testo biblico si riferisce direttamente al mistero pasquale di Cristo o alla vita nuova che ne risulta, il suo senso letterale è un senso spirituale. Ed è il caso abituale nel Nuovo Testamento. Ne consegue che l’esegesi cristiana parla il più delle volte di senso spirituale a proposito dell’Antico Testamento. Ma già nell’Antico Testamento i testi hanno in molti casi come senso letterale un senso religioso e spirituale. La fede cristiana vi riconosce un rapporto anticipato con la vita nuova apportata da Cristo. </w:t>
      </w:r>
    </w:p>
    <w:p w14:paraId="4D764D41" w14:textId="77777777" w:rsidR="002645F3" w:rsidRDefault="002645F3" w:rsidP="002645F3">
      <w:pPr>
        <w:pStyle w:val="NormaleWeb"/>
        <w:spacing w:before="0" w:beforeAutospacing="0" w:after="0" w:afterAutospacing="0"/>
      </w:pPr>
      <w:r>
        <w:t xml:space="preserve">Quando c’è una distinzione, il senso spirituale non può mai essere privato dei rapporti con il senso letterale che ne rimane la base indispensabile; diversamente, non si potrebbe parlare di “compimento” della Scrittura. In effetti, perché si possa parlare di compimento è essenziale un rapporto di continuità e di conformità. Ma è anche necessario che ci sia un passaggio a un livello superiore di realtà. </w:t>
      </w:r>
    </w:p>
    <w:p w14:paraId="4E7E8C41" w14:textId="77777777" w:rsidR="002645F3" w:rsidRDefault="002645F3" w:rsidP="002645F3">
      <w:pPr>
        <w:pStyle w:val="NormaleWeb"/>
        <w:spacing w:before="0" w:beforeAutospacing="0" w:after="0" w:afterAutospacing="0"/>
      </w:pPr>
      <w:r>
        <w:t xml:space="preserve">Il senso spirituale non è da confondere con le interpretazioni soggettive dettate dall’immaginazione o dalla speculazione intellettuale. Esso scaturisce dalla relazione del testo con certi dati reali che non gli sono estranei, l’evento pasquale e la sua inesauribile fecondità, che costituiscono il vertice dell’intervento divino nella storia di Israele, a vantaggio di tutta l’umanità. </w:t>
      </w:r>
    </w:p>
    <w:p w14:paraId="67D78B0D" w14:textId="77777777" w:rsidR="002645F3" w:rsidRDefault="002645F3" w:rsidP="002645F3">
      <w:pPr>
        <w:pStyle w:val="NormaleWeb"/>
        <w:spacing w:before="0" w:beforeAutospacing="0" w:after="0" w:afterAutospacing="0"/>
      </w:pPr>
      <w:r>
        <w:t xml:space="preserve">La lettura spirituale, fatta comunitariamente o individualmente, scopre un senso spirituale autentico solo se si mantiene in queste prospettive. Vengono allora messi in relazione tre livelli di realtà: il testo biblico, il mistero pasquale e le circostanze presenti di vita nello Spirito. </w:t>
      </w:r>
    </w:p>
    <w:p w14:paraId="52FE7213" w14:textId="77777777" w:rsidR="002645F3" w:rsidRDefault="002645F3" w:rsidP="002645F3">
      <w:pPr>
        <w:pStyle w:val="NormaleWeb"/>
        <w:spacing w:before="0" w:beforeAutospacing="0" w:after="0" w:afterAutospacing="0"/>
      </w:pPr>
      <w:r>
        <w:t xml:space="preserve">L’esegesi antica, persuasa che il mistero del Cristo costituisca la chiave interpretativa di tutte le Scritture, si è sforzata di trovare un senso spirituale nei più piccoli dettagli dei testi biblici, per esempio, in ogni prescrizione delle leggi rituali, servendosi di metodi rabbinici o ispirandosi all’allegorismo ellenistico. L’esegesi moderna non può accordare un vero valore d’interpretazione a questo genere di tentativi, qualunque possa essere stata, nel passato, la loro utilità pastorale (cf. </w:t>
      </w:r>
      <w:hyperlink r:id="rId4" w:history="1">
        <w:r>
          <w:rPr>
            <w:rStyle w:val="Collegamentoipertestuale"/>
            <w:rFonts w:eastAsiaTheme="majorEastAsia"/>
            <w:i/>
            <w:iCs/>
          </w:rPr>
          <w:t xml:space="preserve">Divino </w:t>
        </w:r>
        <w:proofErr w:type="spellStart"/>
        <w:r>
          <w:rPr>
            <w:rStyle w:val="Collegamentoipertestuale"/>
            <w:rFonts w:eastAsiaTheme="majorEastAsia"/>
            <w:i/>
            <w:iCs/>
          </w:rPr>
          <w:t>afflante</w:t>
        </w:r>
        <w:proofErr w:type="spellEnd"/>
        <w:r>
          <w:rPr>
            <w:rStyle w:val="Collegamentoipertestuale"/>
            <w:rFonts w:eastAsiaTheme="majorEastAsia"/>
            <w:i/>
            <w:iCs/>
          </w:rPr>
          <w:t xml:space="preserve"> Spiritu</w:t>
        </w:r>
      </w:hyperlink>
      <w:r>
        <w:t xml:space="preserve">, EB 553). </w:t>
      </w:r>
    </w:p>
    <w:p w14:paraId="066B2284" w14:textId="77777777" w:rsidR="002645F3" w:rsidRDefault="002645F3" w:rsidP="002645F3">
      <w:pPr>
        <w:pStyle w:val="NormaleWeb"/>
        <w:spacing w:before="0" w:beforeAutospacing="0" w:after="0" w:afterAutospacing="0"/>
      </w:pPr>
    </w:p>
    <w:p w14:paraId="5717CCBC" w14:textId="77777777" w:rsidR="002645F3" w:rsidRDefault="006E46E8" w:rsidP="002645F3">
      <w:pPr>
        <w:pStyle w:val="Sottotitolo"/>
        <w:rPr>
          <w:i/>
        </w:rPr>
      </w:pPr>
      <w:r>
        <w:t xml:space="preserve">ESORTAZIONE POST-SINODALE </w:t>
      </w:r>
      <w:r>
        <w:rPr>
          <w:i/>
        </w:rPr>
        <w:t>VERBUM DOMINI</w:t>
      </w:r>
    </w:p>
    <w:p w14:paraId="47163DA2" w14:textId="77777777" w:rsidR="00F20702" w:rsidRDefault="00F20702" w:rsidP="00F20702">
      <w:pPr>
        <w:pStyle w:val="NormaleWeb"/>
        <w:spacing w:before="0" w:beforeAutospacing="0" w:after="0" w:afterAutospacing="0"/>
      </w:pPr>
      <w:r>
        <w:t xml:space="preserve">§ 29 Proprio il legame intrinseco tra Parola e fede mette in evidenza che l’autentica ermeneutica della Bibbia non può che essere nella fede ecclesiale, che ha nel sì di Maria il suo paradigma... Questo ci permette di richiamare un criterio fondamentale dell’ermeneutica biblica: </w:t>
      </w:r>
      <w:r>
        <w:rPr>
          <w:i/>
          <w:iCs/>
        </w:rPr>
        <w:t>il luogo originario dell’interpretazione scritturistica è la vita della Chiesa</w:t>
      </w:r>
      <w:r>
        <w:t xml:space="preserve">. Questa affermazione non indica il riferimento ecclesiale come un criterio estrinseco cui gli esegeti devono piegarsi, ma è richiesta dalla realtà stessa delle Scritture e da come esse si sono formate nel tempo… </w:t>
      </w:r>
    </w:p>
    <w:p w14:paraId="3B475AED" w14:textId="77777777" w:rsidR="00F20702" w:rsidRDefault="00F20702" w:rsidP="00F20702">
      <w:pPr>
        <w:pStyle w:val="NormaleWeb"/>
        <w:spacing w:before="0" w:beforeAutospacing="0" w:after="0" w:afterAutospacing="0"/>
      </w:pPr>
      <w:r>
        <w:t>[ § 35 si rimanda ai principi di DV 12 e si ricorda che “essi si danno solo in reciprocità” ]</w:t>
      </w:r>
    </w:p>
    <w:p w14:paraId="3B77FF3A" w14:textId="77777777" w:rsidR="006E46E8" w:rsidRPr="006E46E8" w:rsidRDefault="00F20702" w:rsidP="00F20702">
      <w:pPr>
        <w:ind w:firstLine="0"/>
      </w:pPr>
      <w:r>
        <w:t xml:space="preserve">§ 38. Nel recupero dell’articolazione tra i diversi sensi scritturistici diventa allora decisivo cogliere </w:t>
      </w:r>
      <w:r>
        <w:rPr>
          <w:i/>
          <w:iCs/>
        </w:rPr>
        <w:t>il passaggio tra lettera e spirito</w:t>
      </w:r>
      <w:r>
        <w:t>. Non si tratta di un passaggio automatico e spontaneo; occorre piuttosto un trascendimento della lettera: «la Parola di Dio stesso, infatti, non è mai presente già nella semplice letteralità del testo. Per raggiungerla occorre un trascendimento e un processo di comprensione, che si lascia guidare dal movimento interiore dell’insieme e perciò deve diventare anche un processo di vita». Scopriamo così perché un processo interpretativo autentico non è mai solo intellettuale, ma anche vitale, in cui è richiesto il pieno coinvolgimento nella vita ecclesiale, quale vita «secondo lo Spirito» (</w:t>
      </w:r>
      <w:proofErr w:type="spellStart"/>
      <w:r>
        <w:rPr>
          <w:i/>
          <w:iCs/>
        </w:rPr>
        <w:t>Gal</w:t>
      </w:r>
      <w:proofErr w:type="spellEnd"/>
      <w:r>
        <w:t xml:space="preserve"> 5,16). In tal modo diventano più chiari i criteri messi in </w:t>
      </w:r>
      <w:r>
        <w:lastRenderedPageBreak/>
        <w:t xml:space="preserve">evidenza dal numero 12 della Costituzione dogmatica </w:t>
      </w:r>
      <w:hyperlink r:id="rId5" w:history="1">
        <w:r>
          <w:rPr>
            <w:rStyle w:val="Collegamentoipertestuale"/>
            <w:rFonts w:eastAsiaTheme="majorEastAsia"/>
            <w:i/>
            <w:iCs/>
          </w:rPr>
          <w:t xml:space="preserve">Dei </w:t>
        </w:r>
        <w:proofErr w:type="spellStart"/>
        <w:r>
          <w:rPr>
            <w:rStyle w:val="Collegamentoipertestuale"/>
            <w:rFonts w:eastAsiaTheme="majorEastAsia"/>
            <w:i/>
            <w:iCs/>
          </w:rPr>
          <w:t>Verbum</w:t>
        </w:r>
        <w:proofErr w:type="spellEnd"/>
      </w:hyperlink>
      <w:r>
        <w:t>: un tale trascendimento non può avvenire nel singolo frammento letterario se non in rapporto con la totalità della Scrittura. Infatti è un’unica Parola quella verso la quale siamo chiamati a trascendere. Tale processo possiede un’intima drammaticità, poiché, nel processo di trascendimento, il passaggio che avviene in forza dello Spirito ha inevitabilmente a che fare anche con la libertà di ciascuno. San Paolo ha vissuto pienamente nella propria esistenza questo passaggio. Che cosa significhi il trascendimento della lettera e la sua comprensione unicamente a partire dall’insieme, egli l’ha espresso in modo radicale nella frase: «</w:t>
      </w:r>
      <w:r>
        <w:rPr>
          <w:i/>
          <w:iCs/>
        </w:rPr>
        <w:t>la lettera uccide, lo Spirito invece dà vita</w:t>
      </w:r>
      <w:r>
        <w:t>» (</w:t>
      </w:r>
      <w:r>
        <w:rPr>
          <w:i/>
          <w:iCs/>
        </w:rPr>
        <w:t>2Cor</w:t>
      </w:r>
      <w:r>
        <w:t xml:space="preserve"> 3,6).</w:t>
      </w:r>
    </w:p>
    <w:p w14:paraId="058738B4" w14:textId="77777777" w:rsidR="005E623A" w:rsidRDefault="005E623A" w:rsidP="002645F3"/>
    <w:p w14:paraId="2F9702B2" w14:textId="77777777" w:rsidR="00F20702" w:rsidRPr="005E623A" w:rsidRDefault="00F20702" w:rsidP="00F20702">
      <w:pPr>
        <w:ind w:firstLine="0"/>
      </w:pPr>
      <w:r>
        <w:t>Nell’insieme dell’Esortazione</w:t>
      </w:r>
      <w:r w:rsidRPr="00F20702">
        <w:t xml:space="preserve"> </w:t>
      </w:r>
      <w:r>
        <w:t xml:space="preserve">è ampiamente denunciata l’insufficienza dei metodi esegetici </w:t>
      </w:r>
      <w:r>
        <w:rPr>
          <w:i/>
        </w:rPr>
        <w:t>per la loro riduzione a una dimensione storica</w:t>
      </w:r>
      <w:r>
        <w:t xml:space="preserve"> in affermazioni del tipo “esegesi storico-critica </w:t>
      </w:r>
      <w:r>
        <w:rPr>
          <w:i/>
        </w:rPr>
        <w:t>e altri metodi</w:t>
      </w:r>
      <w:r>
        <w:t xml:space="preserve"> di analisi” (</w:t>
      </w:r>
      <w:r>
        <w:rPr>
          <w:b/>
        </w:rPr>
        <w:t>n° 32</w:t>
      </w:r>
      <w:r>
        <w:t xml:space="preserve"> corsivo mio), o “metodologia storico-critica, anche </w:t>
      </w:r>
      <w:r>
        <w:rPr>
          <w:i/>
        </w:rPr>
        <w:t>con le sue più recenti integrazioni</w:t>
      </w:r>
      <w:r>
        <w:t>” (</w:t>
      </w:r>
      <w:r>
        <w:rPr>
          <w:b/>
        </w:rPr>
        <w:t xml:space="preserve">n° 34 </w:t>
      </w:r>
      <w:r>
        <w:t xml:space="preserve">corsivo mio), o “utilizzazione di </w:t>
      </w:r>
      <w:r>
        <w:rPr>
          <w:i/>
        </w:rPr>
        <w:t>metodi di analisi storica</w:t>
      </w:r>
      <w:r>
        <w:t xml:space="preserve"> … (</w:t>
      </w:r>
      <w:r>
        <w:rPr>
          <w:b/>
        </w:rPr>
        <w:t>n° 36</w:t>
      </w:r>
      <w:r>
        <w:t xml:space="preserve"> corsivo mio: i metodi di esegesi sono solo di analisi storica!).</w:t>
      </w:r>
    </w:p>
    <w:sectPr w:rsidR="00F20702" w:rsidRPr="005E62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23A"/>
    <w:rsid w:val="000A09E3"/>
    <w:rsid w:val="00176F0A"/>
    <w:rsid w:val="001D063D"/>
    <w:rsid w:val="00212C78"/>
    <w:rsid w:val="00223099"/>
    <w:rsid w:val="002645F3"/>
    <w:rsid w:val="005E623A"/>
    <w:rsid w:val="0069611B"/>
    <w:rsid w:val="006E46E8"/>
    <w:rsid w:val="00AF20D1"/>
    <w:rsid w:val="00C46220"/>
    <w:rsid w:val="00F20702"/>
    <w:rsid w:val="00F84918"/>
    <w:rsid w:val="00FD63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2AE0E"/>
  <w15:chartTrackingRefBased/>
  <w15:docId w15:val="{439BFAFE-D678-4B4F-99EB-837E374BA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E623A"/>
    <w:pPr>
      <w:spacing w:after="0" w:line="240" w:lineRule="auto"/>
      <w:ind w:firstLine="284"/>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FD634C"/>
    <w:pPr>
      <w:keepNext/>
      <w:keepLines/>
      <w:spacing w:after="120"/>
      <w:jc w:val="center"/>
      <w:outlineLvl w:val="0"/>
    </w:pPr>
    <w:rPr>
      <w:rFonts w:ascii="Rockwell" w:eastAsiaTheme="majorEastAsia" w:hAnsi="Rockwell" w:cstheme="majorBidi"/>
      <w:sz w:val="28"/>
      <w:szCs w:val="32"/>
      <w:lang w:eastAsia="en-US"/>
    </w:rPr>
  </w:style>
  <w:style w:type="paragraph" w:styleId="Titolo2">
    <w:name w:val="heading 2"/>
    <w:basedOn w:val="Normale"/>
    <w:next w:val="Normale"/>
    <w:link w:val="Titolo2Carattere"/>
    <w:uiPriority w:val="9"/>
    <w:semiHidden/>
    <w:unhideWhenUsed/>
    <w:qFormat/>
    <w:rsid w:val="00FD634C"/>
    <w:pPr>
      <w:keepNext/>
      <w:keepLines/>
      <w:spacing w:before="40" w:after="120"/>
      <w:outlineLvl w:val="1"/>
    </w:pPr>
    <w:rPr>
      <w:rFonts w:eastAsiaTheme="majorEastAsia" w:cstheme="majorBidi"/>
      <w:i/>
      <w:szCs w:val="26"/>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634C"/>
    <w:rPr>
      <w:rFonts w:ascii="Rockwell" w:eastAsiaTheme="majorEastAsia" w:hAnsi="Rockwell" w:cstheme="majorBidi"/>
      <w:sz w:val="28"/>
      <w:szCs w:val="32"/>
    </w:rPr>
  </w:style>
  <w:style w:type="character" w:customStyle="1" w:styleId="Titolo2Carattere">
    <w:name w:val="Titolo 2 Carattere"/>
    <w:basedOn w:val="Carpredefinitoparagrafo"/>
    <w:link w:val="Titolo2"/>
    <w:uiPriority w:val="9"/>
    <w:semiHidden/>
    <w:rsid w:val="00FD634C"/>
    <w:rPr>
      <w:rFonts w:ascii="Times New Roman" w:eastAsiaTheme="majorEastAsia" w:hAnsi="Times New Roman" w:cstheme="majorBidi"/>
      <w:i/>
      <w:sz w:val="24"/>
      <w:szCs w:val="26"/>
    </w:rPr>
  </w:style>
  <w:style w:type="paragraph" w:styleId="Sottotitolo">
    <w:name w:val="Subtitle"/>
    <w:basedOn w:val="Normale"/>
    <w:next w:val="Normale"/>
    <w:link w:val="SottotitoloCarattere"/>
    <w:uiPriority w:val="11"/>
    <w:qFormat/>
    <w:rsid w:val="005E623A"/>
    <w:pPr>
      <w:numPr>
        <w:ilvl w:val="1"/>
      </w:numPr>
      <w:spacing w:after="60"/>
      <w:ind w:firstLine="284"/>
    </w:pPr>
    <w:rPr>
      <w:rFonts w:asciiTheme="minorHAnsi" w:eastAsiaTheme="minorEastAsia" w:hAnsiTheme="minorHAnsi" w:cstheme="minorBidi"/>
      <w:spacing w:val="15"/>
      <w:sz w:val="28"/>
      <w:szCs w:val="22"/>
    </w:rPr>
  </w:style>
  <w:style w:type="character" w:customStyle="1" w:styleId="SottotitoloCarattere">
    <w:name w:val="Sottotitolo Carattere"/>
    <w:basedOn w:val="Carpredefinitoparagrafo"/>
    <w:link w:val="Sottotitolo"/>
    <w:uiPriority w:val="11"/>
    <w:rsid w:val="005E623A"/>
    <w:rPr>
      <w:rFonts w:eastAsiaTheme="minorEastAsia"/>
      <w:spacing w:val="15"/>
      <w:sz w:val="28"/>
      <w:lang w:eastAsia="it-IT"/>
    </w:rPr>
  </w:style>
  <w:style w:type="paragraph" w:styleId="NormaleWeb">
    <w:name w:val="Normal (Web)"/>
    <w:basedOn w:val="Normale"/>
    <w:uiPriority w:val="99"/>
    <w:semiHidden/>
    <w:unhideWhenUsed/>
    <w:rsid w:val="005E623A"/>
    <w:pPr>
      <w:spacing w:before="100" w:beforeAutospacing="1" w:after="100" w:afterAutospacing="1"/>
      <w:ind w:firstLine="0"/>
    </w:pPr>
  </w:style>
  <w:style w:type="character" w:styleId="Collegamentoipertestuale">
    <w:name w:val="Hyperlink"/>
    <w:basedOn w:val="Carpredefinitoparagrafo"/>
    <w:uiPriority w:val="99"/>
    <w:semiHidden/>
    <w:unhideWhenUsed/>
    <w:rsid w:val="002645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0705">
      <w:bodyDiv w:val="1"/>
      <w:marLeft w:val="0"/>
      <w:marRight w:val="0"/>
      <w:marTop w:val="0"/>
      <w:marBottom w:val="0"/>
      <w:divBdr>
        <w:top w:val="none" w:sz="0" w:space="0" w:color="auto"/>
        <w:left w:val="none" w:sz="0" w:space="0" w:color="auto"/>
        <w:bottom w:val="none" w:sz="0" w:space="0" w:color="auto"/>
        <w:right w:val="none" w:sz="0" w:space="0" w:color="auto"/>
      </w:divBdr>
    </w:div>
    <w:div w:id="1082410092">
      <w:bodyDiv w:val="1"/>
      <w:marLeft w:val="0"/>
      <w:marRight w:val="0"/>
      <w:marTop w:val="0"/>
      <w:marBottom w:val="0"/>
      <w:divBdr>
        <w:top w:val="none" w:sz="0" w:space="0" w:color="auto"/>
        <w:left w:val="none" w:sz="0" w:space="0" w:color="auto"/>
        <w:bottom w:val="none" w:sz="0" w:space="0" w:color="auto"/>
        <w:right w:val="none" w:sz="0" w:space="0" w:color="auto"/>
      </w:divBdr>
    </w:div>
    <w:div w:id="1427850047">
      <w:bodyDiv w:val="1"/>
      <w:marLeft w:val="0"/>
      <w:marRight w:val="0"/>
      <w:marTop w:val="0"/>
      <w:marBottom w:val="0"/>
      <w:divBdr>
        <w:top w:val="none" w:sz="0" w:space="0" w:color="auto"/>
        <w:left w:val="none" w:sz="0" w:space="0" w:color="auto"/>
        <w:bottom w:val="none" w:sz="0" w:space="0" w:color="auto"/>
        <w:right w:val="none" w:sz="0" w:space="0" w:color="auto"/>
      </w:divBdr>
    </w:div>
    <w:div w:id="1443384159">
      <w:bodyDiv w:val="1"/>
      <w:marLeft w:val="0"/>
      <w:marRight w:val="0"/>
      <w:marTop w:val="0"/>
      <w:marBottom w:val="0"/>
      <w:divBdr>
        <w:top w:val="none" w:sz="0" w:space="0" w:color="auto"/>
        <w:left w:val="none" w:sz="0" w:space="0" w:color="auto"/>
        <w:bottom w:val="none" w:sz="0" w:space="0" w:color="auto"/>
        <w:right w:val="none" w:sz="0" w:space="0" w:color="auto"/>
      </w:divBdr>
    </w:div>
    <w:div w:id="1852793218">
      <w:bodyDiv w:val="1"/>
      <w:marLeft w:val="0"/>
      <w:marRight w:val="0"/>
      <w:marTop w:val="0"/>
      <w:marBottom w:val="0"/>
      <w:divBdr>
        <w:top w:val="none" w:sz="0" w:space="0" w:color="auto"/>
        <w:left w:val="none" w:sz="0" w:space="0" w:color="auto"/>
        <w:bottom w:val="none" w:sz="0" w:space="0" w:color="auto"/>
        <w:right w:val="none" w:sz="0" w:space="0" w:color="auto"/>
      </w:divBdr>
    </w:div>
    <w:div w:id="191119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atican.va/archive/hist_councils/ii_vatican_council/documents/vat-ii_const_19651118_dei-verbum_it.html" TargetMode="External"/><Relationship Id="rId4" Type="http://schemas.openxmlformats.org/officeDocument/2006/relationships/hyperlink" Target="http://www.vatican.va/holy_father/pius_xii/encyclicals/documents/hf_p-xii_enc_30091943_divino-afflante-spiritu_it.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1482</Words>
  <Characters>8448</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dc:creator>
  <cp:keywords/>
  <dc:description/>
  <cp:lastModifiedBy>Stefano Romanello</cp:lastModifiedBy>
  <cp:revision>7</cp:revision>
  <dcterms:created xsi:type="dcterms:W3CDTF">2021-05-10T09:21:00Z</dcterms:created>
  <dcterms:modified xsi:type="dcterms:W3CDTF">2026-05-14T07:22:00Z</dcterms:modified>
</cp:coreProperties>
</file>