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3425D" w14:textId="11F1C331" w:rsidR="001D063D" w:rsidRDefault="005061AD" w:rsidP="005061AD">
      <w:pPr>
        <w:pStyle w:val="Titolo1"/>
      </w:pPr>
      <w:r>
        <w:t>Ermeneutica biblica – schemi</w:t>
      </w:r>
      <w:r w:rsidR="00AE70EC">
        <w:t xml:space="preserve"> I</w:t>
      </w:r>
    </w:p>
    <w:p w14:paraId="7135D89A" w14:textId="77777777" w:rsidR="00C4647A" w:rsidRPr="00C4647A" w:rsidRDefault="00C4647A" w:rsidP="00C4647A">
      <w:pPr>
        <w:keepNext/>
        <w:keepLines/>
        <w:spacing w:before="120" w:after="120"/>
        <w:ind w:left="284" w:firstLine="0"/>
        <w:outlineLvl w:val="1"/>
        <w:rPr>
          <w:rFonts w:eastAsia="Times New Roman"/>
          <w:i/>
          <w:szCs w:val="20"/>
        </w:rPr>
      </w:pPr>
      <w:r w:rsidRPr="00C4647A">
        <w:rPr>
          <w:rFonts w:eastAsia="Times New Roman"/>
          <w:i/>
          <w:szCs w:val="20"/>
        </w:rPr>
        <w:t xml:space="preserve">LA SVOLTA DI </w:t>
      </w:r>
      <w:r w:rsidRPr="00C4647A">
        <w:rPr>
          <w:rFonts w:eastAsia="Times New Roman"/>
          <w:i/>
          <w:iCs/>
          <w:szCs w:val="20"/>
        </w:rPr>
        <w:t>DEI VERBUM</w:t>
      </w:r>
      <w:r w:rsidRPr="00C4647A">
        <w:rPr>
          <w:rFonts w:eastAsia="Times New Roman"/>
          <w:i/>
          <w:szCs w:val="20"/>
        </w:rPr>
        <w:t xml:space="preserve"> SULL’ISPIRAZIONE</w:t>
      </w:r>
    </w:p>
    <w:p w14:paraId="39C37EA9" w14:textId="77777777" w:rsidR="00C4647A" w:rsidRPr="00C4647A" w:rsidRDefault="00C4647A" w:rsidP="00C4647A">
      <w:pPr>
        <w:spacing w:before="60" w:after="60"/>
        <w:outlineLvl w:val="2"/>
      </w:pPr>
      <w:r w:rsidRPr="00C4647A">
        <w:t>ISPIRAZIONE E RIVELAZIONE</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0"/>
        <w:gridCol w:w="4674"/>
      </w:tblGrid>
      <w:tr w:rsidR="00C4647A" w:rsidRPr="00C4647A" w14:paraId="246CADBD" w14:textId="77777777" w:rsidTr="00EF6C8D">
        <w:tc>
          <w:tcPr>
            <w:tcW w:w="4670" w:type="dxa"/>
            <w:shd w:val="clear" w:color="auto" w:fill="auto"/>
          </w:tcPr>
          <w:p w14:paraId="1BDEF6D5" w14:textId="77777777" w:rsidR="00C4647A" w:rsidRPr="00C4647A" w:rsidRDefault="00C4647A" w:rsidP="00C4647A">
            <w:pPr>
              <w:jc w:val="center"/>
              <w:rPr>
                <w:rFonts w:cs="Times New Roman"/>
                <w:sz w:val="20"/>
                <w:szCs w:val="20"/>
              </w:rPr>
            </w:pPr>
            <w:r w:rsidRPr="00C4647A">
              <w:rPr>
                <w:rFonts w:cs="Times New Roman"/>
                <w:b/>
                <w:i/>
                <w:sz w:val="20"/>
                <w:szCs w:val="20"/>
              </w:rPr>
              <w:t xml:space="preserve">Dei </w:t>
            </w:r>
            <w:proofErr w:type="spellStart"/>
            <w:r w:rsidRPr="00C4647A">
              <w:rPr>
                <w:rFonts w:cs="Times New Roman"/>
                <w:b/>
                <w:i/>
                <w:sz w:val="20"/>
                <w:szCs w:val="20"/>
              </w:rPr>
              <w:t>Filius</w:t>
            </w:r>
            <w:proofErr w:type="spellEnd"/>
            <w:r w:rsidRPr="00C4647A">
              <w:rPr>
                <w:rFonts w:cs="Times New Roman"/>
                <w:sz w:val="20"/>
                <w:szCs w:val="20"/>
              </w:rPr>
              <w:t xml:space="preserve"> (24.04.1870)</w:t>
            </w:r>
          </w:p>
        </w:tc>
        <w:tc>
          <w:tcPr>
            <w:tcW w:w="4674" w:type="dxa"/>
            <w:shd w:val="clear" w:color="auto" w:fill="auto"/>
          </w:tcPr>
          <w:p w14:paraId="53B01043" w14:textId="77777777" w:rsidR="00C4647A" w:rsidRPr="00C4647A" w:rsidRDefault="00C4647A" w:rsidP="00320E38">
            <w:pPr>
              <w:jc w:val="center"/>
              <w:rPr>
                <w:rFonts w:cs="Times New Roman"/>
                <w:sz w:val="20"/>
                <w:szCs w:val="20"/>
              </w:rPr>
            </w:pPr>
            <w:r w:rsidRPr="00C4647A">
              <w:rPr>
                <w:rFonts w:cs="Times New Roman"/>
                <w:b/>
                <w:i/>
                <w:sz w:val="20"/>
                <w:szCs w:val="20"/>
              </w:rPr>
              <w:t xml:space="preserve">Dei </w:t>
            </w:r>
            <w:proofErr w:type="spellStart"/>
            <w:r w:rsidR="00320E38">
              <w:rPr>
                <w:rFonts w:cs="Times New Roman"/>
                <w:b/>
                <w:i/>
                <w:sz w:val="20"/>
                <w:szCs w:val="20"/>
              </w:rPr>
              <w:t>V</w:t>
            </w:r>
            <w:r w:rsidRPr="00C4647A">
              <w:rPr>
                <w:rFonts w:cs="Times New Roman"/>
                <w:b/>
                <w:i/>
                <w:sz w:val="20"/>
                <w:szCs w:val="20"/>
              </w:rPr>
              <w:t>erbum</w:t>
            </w:r>
            <w:proofErr w:type="spellEnd"/>
            <w:r w:rsidRPr="00C4647A">
              <w:rPr>
                <w:rFonts w:cs="Times New Roman"/>
                <w:sz w:val="20"/>
                <w:szCs w:val="20"/>
              </w:rPr>
              <w:t xml:space="preserve"> (18.11.1965)</w:t>
            </w:r>
          </w:p>
        </w:tc>
      </w:tr>
      <w:tr w:rsidR="00C4647A" w:rsidRPr="00C4647A" w14:paraId="0757BF24" w14:textId="77777777" w:rsidTr="00EF6C8D">
        <w:tc>
          <w:tcPr>
            <w:tcW w:w="4670" w:type="dxa"/>
            <w:shd w:val="clear" w:color="auto" w:fill="auto"/>
          </w:tcPr>
          <w:p w14:paraId="7851E580" w14:textId="77777777" w:rsidR="00C4647A" w:rsidRPr="00C4647A" w:rsidRDefault="00C4647A" w:rsidP="00C4647A">
            <w:pPr>
              <w:autoSpaceDE w:val="0"/>
              <w:autoSpaceDN w:val="0"/>
              <w:adjustRightInd w:val="0"/>
              <w:jc w:val="both"/>
              <w:rPr>
                <w:rFonts w:cs="Times New Roman"/>
                <w:sz w:val="20"/>
                <w:szCs w:val="20"/>
              </w:rPr>
            </w:pPr>
            <w:r w:rsidRPr="00C4647A">
              <w:rPr>
                <w:rFonts w:cs="Times New Roman"/>
                <w:sz w:val="20"/>
                <w:szCs w:val="20"/>
              </w:rPr>
              <w:t>Questi libri dell’Antico e del Nuovo Testamento, nella loro interezza, così come sono numerati nel decreto del medesimo Concilio e come si trovano tradotti nell'antica edizione latina, devono ritenersi per sacri e canonici. La Chiesa li considera sacri e canonici non perché [sono degli] scritti composti da opera umana, poi approvati dalla sua autorità, e neppure perché contengono la Rivelazione divina senza errore, ma perché, essendo stati scritti sotto l'ispirazione dello Spirito Santo [</w:t>
            </w:r>
            <w:r w:rsidRPr="00C4647A">
              <w:rPr>
                <w:rFonts w:cs="Times New Roman"/>
                <w:i/>
                <w:sz w:val="20"/>
                <w:szCs w:val="20"/>
              </w:rPr>
              <w:t xml:space="preserve">Spiritu Sancto inspirante </w:t>
            </w:r>
            <w:proofErr w:type="spellStart"/>
            <w:r w:rsidRPr="00C4647A">
              <w:rPr>
                <w:rFonts w:cs="Times New Roman"/>
                <w:i/>
                <w:sz w:val="20"/>
                <w:szCs w:val="20"/>
              </w:rPr>
              <w:t>conscripti</w:t>
            </w:r>
            <w:proofErr w:type="spellEnd"/>
            <w:r w:rsidRPr="00C4647A">
              <w:rPr>
                <w:rFonts w:cs="Times New Roman"/>
                <w:sz w:val="20"/>
                <w:szCs w:val="20"/>
              </w:rPr>
              <w:t xml:space="preserve">], hanno </w:t>
            </w:r>
            <w:r w:rsidRPr="00C4647A">
              <w:rPr>
                <w:rFonts w:cs="Times New Roman"/>
                <w:b/>
                <w:bCs/>
                <w:sz w:val="20"/>
                <w:szCs w:val="20"/>
              </w:rPr>
              <w:t>Dio come autore</w:t>
            </w:r>
            <w:r w:rsidRPr="00C4647A">
              <w:rPr>
                <w:rFonts w:cs="Times New Roman"/>
                <w:sz w:val="20"/>
                <w:szCs w:val="20"/>
              </w:rPr>
              <w:t xml:space="preserve"> e come tali sono stati trasmessi [</w:t>
            </w:r>
            <w:r w:rsidRPr="00C4647A">
              <w:rPr>
                <w:rFonts w:cs="Times New Roman"/>
                <w:i/>
                <w:sz w:val="20"/>
                <w:szCs w:val="20"/>
              </w:rPr>
              <w:t>traditi</w:t>
            </w:r>
            <w:r w:rsidRPr="00C4647A">
              <w:rPr>
                <w:rFonts w:cs="Times New Roman"/>
                <w:sz w:val="20"/>
                <w:szCs w:val="20"/>
              </w:rPr>
              <w:t>] alla Chiesa. (DH, 3006)</w:t>
            </w:r>
          </w:p>
        </w:tc>
        <w:tc>
          <w:tcPr>
            <w:tcW w:w="4674" w:type="dxa"/>
            <w:shd w:val="clear" w:color="auto" w:fill="auto"/>
          </w:tcPr>
          <w:p w14:paraId="78DE6864" w14:textId="77777777" w:rsidR="00C4647A" w:rsidRPr="00C4647A" w:rsidRDefault="00C4647A" w:rsidP="00C4647A">
            <w:pPr>
              <w:autoSpaceDE w:val="0"/>
              <w:autoSpaceDN w:val="0"/>
              <w:adjustRightInd w:val="0"/>
              <w:jc w:val="both"/>
              <w:rPr>
                <w:rFonts w:cs="Times New Roman"/>
                <w:sz w:val="20"/>
                <w:szCs w:val="20"/>
              </w:rPr>
            </w:pPr>
            <w:r w:rsidRPr="00C4647A">
              <w:rPr>
                <w:rFonts w:cs="Times New Roman"/>
                <w:b/>
                <w:sz w:val="20"/>
                <w:szCs w:val="20"/>
              </w:rPr>
              <w:t>11.</w:t>
            </w:r>
            <w:r w:rsidRPr="00C4647A">
              <w:rPr>
                <w:rFonts w:cs="Times New Roman"/>
                <w:sz w:val="20"/>
                <w:szCs w:val="20"/>
              </w:rPr>
              <w:t xml:space="preserve"> Le verità divinamente rivelate, che sono contenute ed espresse nei libri della sacra Scrittura, furono scritte per ispirazione dello Spirito Santo. La santa madre Chiesa, per fede apostolica, ritiene sacri e canonici tutti interi i libri sia dell’Antico che del Nuovo Testamento, con tutte le loro parti, perché scritti per ispirazione dello Spirito Santo [</w:t>
            </w:r>
            <w:r w:rsidRPr="00C4647A">
              <w:rPr>
                <w:rFonts w:cs="Times New Roman"/>
                <w:i/>
                <w:sz w:val="20"/>
                <w:szCs w:val="20"/>
              </w:rPr>
              <w:t xml:space="preserve">Spiritu Sancto inspirante </w:t>
            </w:r>
            <w:proofErr w:type="spellStart"/>
            <w:r w:rsidRPr="00C4647A">
              <w:rPr>
                <w:rFonts w:cs="Times New Roman"/>
                <w:i/>
                <w:sz w:val="20"/>
                <w:szCs w:val="20"/>
              </w:rPr>
              <w:t>conscripti</w:t>
            </w:r>
            <w:proofErr w:type="spellEnd"/>
            <w:r w:rsidRPr="00C4647A">
              <w:rPr>
                <w:rFonts w:cs="Times New Roman"/>
                <w:sz w:val="20"/>
                <w:szCs w:val="20"/>
              </w:rPr>
              <w:t xml:space="preserve">] (cfr. </w:t>
            </w:r>
            <w:proofErr w:type="spellStart"/>
            <w:r w:rsidRPr="00C4647A">
              <w:rPr>
                <w:rFonts w:cs="Times New Roman"/>
                <w:sz w:val="20"/>
                <w:szCs w:val="20"/>
              </w:rPr>
              <w:t>Gv</w:t>
            </w:r>
            <w:proofErr w:type="spellEnd"/>
            <w:r w:rsidRPr="00C4647A">
              <w:rPr>
                <w:rFonts w:cs="Times New Roman"/>
                <w:sz w:val="20"/>
                <w:szCs w:val="20"/>
              </w:rPr>
              <w:t xml:space="preserve"> 20,31; 2 Tm 3,16); hanno </w:t>
            </w:r>
            <w:r w:rsidRPr="00C4647A">
              <w:rPr>
                <w:rFonts w:cs="Times New Roman"/>
                <w:b/>
                <w:bCs/>
                <w:sz w:val="20"/>
                <w:szCs w:val="20"/>
              </w:rPr>
              <w:t>Dio per autore</w:t>
            </w:r>
            <w:r w:rsidRPr="00C4647A">
              <w:rPr>
                <w:rFonts w:cs="Times New Roman"/>
                <w:sz w:val="20"/>
                <w:szCs w:val="20"/>
              </w:rPr>
              <w:t xml:space="preserve"> e come tali sono stati consegnati alla Chiesa per la composizione dei libri sacri, </w:t>
            </w:r>
            <w:r w:rsidRPr="00C4647A">
              <w:rPr>
                <w:rFonts w:cs="Times New Roman"/>
                <w:b/>
                <w:bCs/>
                <w:sz w:val="20"/>
                <w:szCs w:val="20"/>
              </w:rPr>
              <w:t>Dio scelse e si servì di uomini nel possesso delle loro facoltà e capacità</w:t>
            </w:r>
            <w:r w:rsidRPr="00C4647A">
              <w:rPr>
                <w:rFonts w:cs="Times New Roman"/>
                <w:sz w:val="20"/>
                <w:szCs w:val="20"/>
              </w:rPr>
              <w:t>, affinché, agendo egli in essi e per loro mezzo [</w:t>
            </w:r>
            <w:r w:rsidRPr="00C4647A">
              <w:rPr>
                <w:rFonts w:cs="Times New Roman"/>
                <w:i/>
                <w:sz w:val="20"/>
                <w:szCs w:val="20"/>
              </w:rPr>
              <w:t xml:space="preserve">in </w:t>
            </w:r>
            <w:proofErr w:type="spellStart"/>
            <w:r w:rsidRPr="00C4647A">
              <w:rPr>
                <w:rFonts w:cs="Times New Roman"/>
                <w:i/>
                <w:sz w:val="20"/>
                <w:szCs w:val="20"/>
              </w:rPr>
              <w:t>illis</w:t>
            </w:r>
            <w:proofErr w:type="spellEnd"/>
            <w:r w:rsidRPr="00C4647A">
              <w:rPr>
                <w:rFonts w:cs="Times New Roman"/>
                <w:i/>
                <w:sz w:val="20"/>
                <w:szCs w:val="20"/>
              </w:rPr>
              <w:t xml:space="preserve"> et per </w:t>
            </w:r>
            <w:proofErr w:type="spellStart"/>
            <w:r w:rsidRPr="00C4647A">
              <w:rPr>
                <w:rFonts w:cs="Times New Roman"/>
                <w:i/>
                <w:sz w:val="20"/>
                <w:szCs w:val="20"/>
              </w:rPr>
              <w:t>illos</w:t>
            </w:r>
            <w:proofErr w:type="spellEnd"/>
            <w:r w:rsidRPr="00C4647A">
              <w:rPr>
                <w:rFonts w:cs="Times New Roman"/>
                <w:i/>
                <w:sz w:val="20"/>
                <w:szCs w:val="20"/>
              </w:rPr>
              <w:t xml:space="preserve"> agente</w:t>
            </w:r>
            <w:r w:rsidRPr="00C4647A">
              <w:rPr>
                <w:rFonts w:cs="Times New Roman"/>
                <w:sz w:val="20"/>
                <w:szCs w:val="20"/>
              </w:rPr>
              <w:t xml:space="preserve">], scrivessero </w:t>
            </w:r>
            <w:r w:rsidRPr="00C4647A">
              <w:rPr>
                <w:rFonts w:cs="Times New Roman"/>
                <w:b/>
                <w:bCs/>
                <w:sz w:val="20"/>
                <w:szCs w:val="20"/>
              </w:rPr>
              <w:t>come veri autori,</w:t>
            </w:r>
            <w:r w:rsidRPr="00C4647A">
              <w:rPr>
                <w:rFonts w:cs="Times New Roman"/>
                <w:sz w:val="20"/>
                <w:szCs w:val="20"/>
              </w:rPr>
              <w:t xml:space="preserve"> tutte e soltanto quelle cose che egli voleva fossero scritte. Poiché dunque tutto ciò che gli autori ispirati o agiografi asseriscono è da ritenersi asserito dallo Spirito Santo, bisogna ritenere, per conseguenza, che i libri della Scrittura insegnano con certezza, fedelmente e senza errore la verità che Dio, per la nostra salvezza, volle fosse consegnata nelle sacre Scritture. Pertanto «ogni Scrittura divinamente ispirata è anche utile per insegnare, per convincere, per correggere, per educare alla giustizia, affinché l’uomo di Dio sia perfetto, addestrato ad ogni opera buona».</w:t>
            </w:r>
          </w:p>
        </w:tc>
      </w:tr>
    </w:tbl>
    <w:p w14:paraId="4C4C7077" w14:textId="77777777" w:rsidR="00C4647A" w:rsidRPr="00C4647A" w:rsidRDefault="00C4647A" w:rsidP="00C4647A">
      <w:pPr>
        <w:pStyle w:val="Paragrafoelenco"/>
        <w:numPr>
          <w:ilvl w:val="0"/>
          <w:numId w:val="1"/>
        </w:numPr>
        <w:ind w:left="357" w:hanging="357"/>
        <w:jc w:val="both"/>
        <w:rPr>
          <w:rFonts w:cs="Times New Roman"/>
        </w:rPr>
      </w:pPr>
      <w:r>
        <w:t>La costituzione del Vaticano II entra nel merito del rapporto tra autore divino e scrittore umano per la composizione del testo biblico, problema non affrontato dal Vaticano I.</w:t>
      </w:r>
    </w:p>
    <w:p w14:paraId="2B835B66" w14:textId="77777777" w:rsidR="00C4647A" w:rsidRPr="00C4647A" w:rsidRDefault="00C4647A" w:rsidP="00C4647A">
      <w:pPr>
        <w:pStyle w:val="Paragrafoelenco"/>
        <w:numPr>
          <w:ilvl w:val="0"/>
          <w:numId w:val="1"/>
        </w:numPr>
        <w:ind w:left="357" w:hanging="357"/>
        <w:jc w:val="both"/>
        <w:rPr>
          <w:rFonts w:cs="Times New Roman"/>
        </w:rPr>
      </w:pPr>
      <w:r>
        <w:t xml:space="preserve">Abbandona il concetto di </w:t>
      </w:r>
      <w:r>
        <w:rPr>
          <w:i/>
        </w:rPr>
        <w:t>instrumentum</w:t>
      </w:r>
    </w:p>
    <w:p w14:paraId="69562D8C" w14:textId="77777777" w:rsidR="00C4647A" w:rsidRPr="00C4647A" w:rsidRDefault="00C4647A" w:rsidP="00C4647A">
      <w:pPr>
        <w:pStyle w:val="Paragrafoelenco"/>
        <w:numPr>
          <w:ilvl w:val="0"/>
          <w:numId w:val="1"/>
        </w:numPr>
        <w:ind w:left="357" w:hanging="357"/>
        <w:jc w:val="both"/>
        <w:rPr>
          <w:rFonts w:cs="Times New Roman"/>
        </w:rPr>
      </w:pPr>
      <w:r>
        <w:t xml:space="preserve">Colloca l’ispirazione entro la Rivelazione </w:t>
      </w:r>
      <w:proofErr w:type="spellStart"/>
      <w:r w:rsidRPr="00946000">
        <w:rPr>
          <w:i/>
        </w:rPr>
        <w:t>gestis</w:t>
      </w:r>
      <w:proofErr w:type="spellEnd"/>
      <w:r w:rsidRPr="00946000">
        <w:rPr>
          <w:i/>
        </w:rPr>
        <w:t xml:space="preserve"> </w:t>
      </w:r>
      <w:proofErr w:type="spellStart"/>
      <w:r w:rsidRPr="00946000">
        <w:rPr>
          <w:i/>
        </w:rPr>
        <w:t>verbisque</w:t>
      </w:r>
      <w:proofErr w:type="spellEnd"/>
      <w:r w:rsidRPr="00946000">
        <w:rPr>
          <w:i/>
        </w:rPr>
        <w:t xml:space="preserve"> </w:t>
      </w:r>
      <w:proofErr w:type="spellStart"/>
      <w:r w:rsidRPr="00946000">
        <w:rPr>
          <w:i/>
        </w:rPr>
        <w:t>intrinsice</w:t>
      </w:r>
      <w:proofErr w:type="spellEnd"/>
      <w:r w:rsidRPr="00946000">
        <w:rPr>
          <w:i/>
        </w:rPr>
        <w:t xml:space="preserve"> inter se </w:t>
      </w:r>
      <w:proofErr w:type="spellStart"/>
      <w:r w:rsidRPr="00946000">
        <w:rPr>
          <w:i/>
        </w:rPr>
        <w:t>connexis</w:t>
      </w:r>
      <w:proofErr w:type="spellEnd"/>
    </w:p>
    <w:p w14:paraId="2A1E375E" w14:textId="77777777" w:rsidR="00320E38" w:rsidRDefault="00320E38" w:rsidP="00C4647A">
      <w:pPr>
        <w:pStyle w:val="Paragrafoelenco"/>
        <w:numPr>
          <w:ilvl w:val="0"/>
          <w:numId w:val="1"/>
        </w:numPr>
        <w:ind w:left="357" w:hanging="357"/>
        <w:jc w:val="both"/>
      </w:pPr>
      <w:r>
        <w:t xml:space="preserve">1Gv 1,3: </w:t>
      </w:r>
      <w:r w:rsidR="00C4647A">
        <w:t>Ciò che abbiamo visto e ascoltato, lo annunciamo anche a voi, affinché anche voi abbiate comunione con noi. La nostra comunione è con il Padre e c</w:t>
      </w:r>
      <w:r>
        <w:t xml:space="preserve">on il Figlio suo, </w:t>
      </w:r>
      <w:proofErr w:type="spellStart"/>
      <w:r>
        <w:t>Gesú</w:t>
      </w:r>
      <w:proofErr w:type="spellEnd"/>
      <w:r>
        <w:t xml:space="preserve"> Cristo </w:t>
      </w:r>
    </w:p>
    <w:p w14:paraId="643ECD04" w14:textId="77777777" w:rsidR="00320E38" w:rsidRDefault="00320E38" w:rsidP="00320E38">
      <w:r>
        <w:br w:type="page"/>
      </w:r>
    </w:p>
    <w:p w14:paraId="584BF150" w14:textId="77777777" w:rsidR="00C4647A" w:rsidRPr="00C4647A" w:rsidRDefault="00C4647A" w:rsidP="00C4647A">
      <w:pPr>
        <w:spacing w:before="60" w:after="60"/>
        <w:outlineLvl w:val="2"/>
      </w:pPr>
      <w:r w:rsidRPr="00C4647A">
        <w:lastRenderedPageBreak/>
        <w:t>IL PRINCIPIO EXTRATESTUALE DELLA SCRITTURA</w:t>
      </w:r>
    </w:p>
    <w:p w14:paraId="74756240" w14:textId="77777777" w:rsidR="00C4647A" w:rsidRDefault="00C4647A" w:rsidP="00C4647A">
      <w:pPr>
        <w:ind w:firstLine="0"/>
        <w:rPr>
          <w:i/>
        </w:rPr>
      </w:pPr>
      <w:r w:rsidRPr="00C4647A">
        <w:t>Cfr.</w:t>
      </w:r>
      <w:r>
        <w:rPr>
          <w:i/>
        </w:rPr>
        <w:t xml:space="preserve"> </w:t>
      </w:r>
      <w:proofErr w:type="spellStart"/>
      <w:r>
        <w:rPr>
          <w:i/>
        </w:rPr>
        <w:t>Verbum</w:t>
      </w:r>
      <w:proofErr w:type="spellEnd"/>
      <w:r>
        <w:rPr>
          <w:i/>
        </w:rPr>
        <w:t xml:space="preserve"> Domini § 7</w:t>
      </w:r>
    </w:p>
    <w:p w14:paraId="5647296F" w14:textId="77777777" w:rsidR="00C4647A" w:rsidRPr="00C4647A" w:rsidRDefault="00C4647A" w:rsidP="00C4647A">
      <w:pPr>
        <w:pBdr>
          <w:top w:val="single" w:sz="4" w:space="1" w:color="auto"/>
          <w:left w:val="single" w:sz="4" w:space="4" w:color="auto"/>
          <w:bottom w:val="single" w:sz="4" w:space="1" w:color="auto"/>
          <w:right w:val="single" w:sz="4" w:space="4" w:color="auto"/>
        </w:pBdr>
      </w:pPr>
      <w:r w:rsidRPr="00C4647A">
        <w:t>È necessario ora rilevare quanto è stato affermato dai Padri sinodali in relazione alle diverse modalità con cui noi utilizziamo l’espressione «Parola di Dio». Si è giustamente parlato di una sinfonia della Parola, di una Parola unica che si esprime in diversi modi: «un canto a più voci».</w:t>
      </w:r>
      <w:r>
        <w:t xml:space="preserve"> </w:t>
      </w:r>
      <w:r w:rsidRPr="00C4647A">
        <w:t xml:space="preserve">I Padri sinodali hanno parlato a questo proposito di un uso analogico del linguaggio umano in riferimento alla Parola di Dio. In effetti, questa espressione, se da una parte riguarda la comunicazione che Dio fa di </w:t>
      </w:r>
      <w:proofErr w:type="gramStart"/>
      <w:r w:rsidRPr="00C4647A">
        <w:t>se</w:t>
      </w:r>
      <w:proofErr w:type="gramEnd"/>
      <w:r w:rsidRPr="00C4647A">
        <w:t xml:space="preserve"> stesso, dall’altra assume significati diversi che vanno attentamente considerati e relazionati fra loro, sia dal punto di vista della riflessione teologica che dell’uso pastorale. Come ci mostra in modo chiaro il Prologo di Giovanni, il </w:t>
      </w:r>
      <w:r w:rsidRPr="00C4647A">
        <w:rPr>
          <w:i/>
          <w:iCs/>
        </w:rPr>
        <w:t>Logos</w:t>
      </w:r>
      <w:r w:rsidRPr="00C4647A">
        <w:t xml:space="preserve"> indica originariamente il Verbo eterno, ossia il Figlio unigenito, generato dal Padre prima di tutti i secoli e a Lui consustanziale: </w:t>
      </w:r>
      <w:r w:rsidRPr="00C4647A">
        <w:rPr>
          <w:i/>
          <w:iCs/>
        </w:rPr>
        <w:t>il Verbo era presso Dio, il Verbo era Dio</w:t>
      </w:r>
      <w:r w:rsidRPr="00C4647A">
        <w:t>. Ma questo stesso Verbo, afferma san Giovanni, si «fece carne» (</w:t>
      </w:r>
      <w:proofErr w:type="spellStart"/>
      <w:r w:rsidRPr="00C4647A">
        <w:rPr>
          <w:i/>
          <w:iCs/>
        </w:rPr>
        <w:t>Gv</w:t>
      </w:r>
      <w:proofErr w:type="spellEnd"/>
      <w:r w:rsidRPr="00C4647A">
        <w:t xml:space="preserve"> 1,14); pertanto Gesù Cristo, nato da Maria Vergine, è realmente il Verbo di Dio fattosi consustanziale a noi. Dunque l’espressione «Parola di Dio» viene qui ad indicare la persona di Gesù Cristo, eterno Figlio del Padre, fatto uomo.</w:t>
      </w:r>
    </w:p>
    <w:p w14:paraId="030D6EA8" w14:textId="77777777" w:rsidR="00C4647A" w:rsidRDefault="00C4647A" w:rsidP="00C4647A">
      <w:pPr>
        <w:pStyle w:val="Paragrafoelenco"/>
        <w:numPr>
          <w:ilvl w:val="0"/>
          <w:numId w:val="3"/>
        </w:numPr>
        <w:ind w:left="357" w:hanging="357"/>
      </w:pPr>
      <w:r>
        <w:t xml:space="preserve">Bibbia come “Rivelazione attestata”. Cfr. PCB </w:t>
      </w:r>
    </w:p>
    <w:p w14:paraId="355AC2A7" w14:textId="77777777" w:rsidR="00C4647A" w:rsidRPr="00A2375B" w:rsidRDefault="00C4647A" w:rsidP="00C4647A">
      <w:pPr>
        <w:pBdr>
          <w:top w:val="single" w:sz="4" w:space="1" w:color="auto"/>
          <w:left w:val="single" w:sz="4" w:space="4" w:color="auto"/>
          <w:bottom w:val="single" w:sz="4" w:space="1" w:color="auto"/>
          <w:right w:val="single" w:sz="4" w:space="4" w:color="auto"/>
        </w:pBdr>
        <w:ind w:firstLine="0"/>
        <w:rPr>
          <w:lang w:eastAsia="it-IT"/>
        </w:rPr>
      </w:pPr>
      <w:r w:rsidRPr="006E0296">
        <w:rPr>
          <w:lang w:eastAsia="it-IT"/>
        </w:rPr>
        <w:t>L’esegesi cattolica non cerca di distinguersi usando un metodo scientifico particolare. Essa</w:t>
      </w:r>
      <w:r>
        <w:rPr>
          <w:lang w:eastAsia="it-IT"/>
        </w:rPr>
        <w:t xml:space="preserve"> </w:t>
      </w:r>
      <w:r w:rsidRPr="006E0296">
        <w:rPr>
          <w:lang w:eastAsia="it-IT"/>
        </w:rPr>
        <w:t>riconosce che uno degli aspetti dei testi biblici è di essere opera di autori umani, che si sono serviti</w:t>
      </w:r>
      <w:r>
        <w:rPr>
          <w:lang w:eastAsia="it-IT"/>
        </w:rPr>
        <w:t xml:space="preserve"> </w:t>
      </w:r>
      <w:r w:rsidRPr="006E0296">
        <w:rPr>
          <w:lang w:eastAsia="it-IT"/>
        </w:rPr>
        <w:t>delle proprie capacità e degli strumenti che il loro tempo e il loro ambiente mettevano a loro</w:t>
      </w:r>
      <w:r>
        <w:rPr>
          <w:lang w:eastAsia="it-IT"/>
        </w:rPr>
        <w:t xml:space="preserve"> </w:t>
      </w:r>
      <w:r w:rsidRPr="006E0296">
        <w:rPr>
          <w:lang w:eastAsia="it-IT"/>
        </w:rPr>
        <w:t>disposizione. Di conseguenza, utilizza senza secondo fine, tutti i metodi e approcci scientifici che</w:t>
      </w:r>
      <w:r>
        <w:rPr>
          <w:lang w:eastAsia="it-IT"/>
        </w:rPr>
        <w:t xml:space="preserve"> </w:t>
      </w:r>
      <w:r w:rsidRPr="006E0296">
        <w:rPr>
          <w:lang w:eastAsia="it-IT"/>
        </w:rPr>
        <w:t>permettono di meglio comprendere il significato dei testi nel loro contesto linguistico, letterario,</w:t>
      </w:r>
      <w:r>
        <w:rPr>
          <w:lang w:eastAsia="it-IT"/>
        </w:rPr>
        <w:t xml:space="preserve"> </w:t>
      </w:r>
      <w:r w:rsidRPr="006E0296">
        <w:rPr>
          <w:lang w:eastAsia="it-IT"/>
        </w:rPr>
        <w:t>socio-culturale, religioso e storico, illuminandoli anche con lo studio delle loro fonti e tenendo</w:t>
      </w:r>
      <w:r>
        <w:rPr>
          <w:lang w:eastAsia="it-IT"/>
        </w:rPr>
        <w:t xml:space="preserve"> </w:t>
      </w:r>
      <w:r w:rsidRPr="006E0296">
        <w:rPr>
          <w:lang w:eastAsia="it-IT"/>
        </w:rPr>
        <w:t xml:space="preserve">conto della personalità di ogni autore (cf. </w:t>
      </w:r>
      <w:r w:rsidRPr="00C4647A">
        <w:rPr>
          <w:i/>
          <w:iCs/>
          <w:lang w:eastAsia="it-IT"/>
        </w:rPr>
        <w:t xml:space="preserve">Divino </w:t>
      </w:r>
      <w:proofErr w:type="spellStart"/>
      <w:r w:rsidRPr="00C4647A">
        <w:rPr>
          <w:i/>
          <w:iCs/>
          <w:lang w:eastAsia="it-IT"/>
        </w:rPr>
        <w:t>afflante</w:t>
      </w:r>
      <w:proofErr w:type="spellEnd"/>
      <w:r w:rsidRPr="00C4647A">
        <w:rPr>
          <w:i/>
          <w:iCs/>
          <w:lang w:eastAsia="it-IT"/>
        </w:rPr>
        <w:t xml:space="preserve"> Spiritu</w:t>
      </w:r>
      <w:r w:rsidRPr="006E0296">
        <w:rPr>
          <w:lang w:eastAsia="it-IT"/>
        </w:rPr>
        <w:t xml:space="preserve">, EB 557). </w:t>
      </w:r>
      <w:r w:rsidRPr="00A2375B">
        <w:rPr>
          <w:lang w:eastAsia="it-IT"/>
        </w:rPr>
        <w:t>In tal modo essa contribuisce attivamente allo sviluppo dei metodi e al progresso della ricerca. Ciò che la caratterizza è il suo situarsi consapevolmente nella tradizione vivente della Chiesa, la cui prima preoccupazione è la fedeltà alla rivelazione attestata dalla Bibbia.</w:t>
      </w:r>
    </w:p>
    <w:p w14:paraId="75EA4D2B" w14:textId="77777777" w:rsidR="00320E38" w:rsidRDefault="00C4647A" w:rsidP="00C4647A">
      <w:pPr>
        <w:pStyle w:val="Paragrafoelenco"/>
        <w:numPr>
          <w:ilvl w:val="0"/>
          <w:numId w:val="3"/>
        </w:numPr>
        <w:ind w:left="357" w:hanging="357"/>
      </w:pPr>
      <w:r>
        <w:t>Orizzonte dell’interpretazione biblica: in quanto veicolo per accedere alla “Rivelazione attestata” l’esegesi ha in sé una pertinenza teologica. Ma come si deve articolare nel concreto? Il Documento raccomanda “</w:t>
      </w:r>
      <w:r w:rsidRPr="006E0296">
        <w:rPr>
          <w:lang w:eastAsia="it-IT"/>
        </w:rPr>
        <w:t>comprendere il significato dei testi nel loro contesto</w:t>
      </w:r>
      <w:r>
        <w:t xml:space="preserve">”, per cui “principio </w:t>
      </w:r>
      <w:proofErr w:type="spellStart"/>
      <w:r>
        <w:t>extratestuale</w:t>
      </w:r>
      <w:proofErr w:type="spellEnd"/>
      <w:r>
        <w:t xml:space="preserve">” </w:t>
      </w:r>
      <w:r w:rsidRPr="00C4647A">
        <w:rPr>
          <w:i/>
        </w:rPr>
        <w:t>non</w:t>
      </w:r>
      <w:r>
        <w:t xml:space="preserve"> va inteso nel senso che </w:t>
      </w:r>
      <w:r w:rsidRPr="00C4647A">
        <w:rPr>
          <w:i/>
        </w:rPr>
        <w:t>da fuori del testo immetto</w:t>
      </w:r>
      <w:r>
        <w:t xml:space="preserve"> significati ad esso estranei, bensì che </w:t>
      </w:r>
      <w:r w:rsidRPr="00C4647A">
        <w:rPr>
          <w:i/>
        </w:rPr>
        <w:t>dal testo faccio emergere il suo proprio significato, che è attestazione della Rivelazione</w:t>
      </w:r>
      <w:r>
        <w:t>.</w:t>
      </w:r>
    </w:p>
    <w:p w14:paraId="389F6CEC" w14:textId="77777777" w:rsidR="00320E38" w:rsidRDefault="00320E38" w:rsidP="00320E38">
      <w:r>
        <w:br w:type="page"/>
      </w:r>
    </w:p>
    <w:p w14:paraId="57226EC7" w14:textId="77777777" w:rsidR="00C4647A" w:rsidRPr="00C4647A" w:rsidRDefault="00C4647A" w:rsidP="00C4647A">
      <w:pPr>
        <w:pStyle w:val="Titolo3"/>
      </w:pPr>
      <w:r w:rsidRPr="00C4647A">
        <w:lastRenderedPageBreak/>
        <w:t>IL LINGUAGGIO DEI “VERI AUTORI”</w:t>
      </w:r>
    </w:p>
    <w:p w14:paraId="5F00A859" w14:textId="77777777" w:rsidR="00C4647A" w:rsidRDefault="00C4647A" w:rsidP="00C4647A">
      <w:pPr>
        <w:pBdr>
          <w:top w:val="single" w:sz="4" w:space="1" w:color="auto"/>
          <w:left w:val="single" w:sz="4" w:space="4" w:color="auto"/>
          <w:bottom w:val="single" w:sz="4" w:space="1" w:color="auto"/>
          <w:right w:val="single" w:sz="4" w:space="4" w:color="auto"/>
        </w:pBdr>
        <w:ind w:left="142" w:firstLine="0"/>
      </w:pPr>
      <w:bookmarkStart w:id="0" w:name="12"/>
      <w:r>
        <w:t>12</w:t>
      </w:r>
      <w:bookmarkEnd w:id="0"/>
      <w:r>
        <w:t>. Poiché Dio nella sacra Scrittura ha parlato per mezzo di uomini alla maniera umana [</w:t>
      </w:r>
      <w:bookmarkStart w:id="1" w:name="_ftnref22"/>
      <w:r>
        <w:fldChar w:fldCharType="begin"/>
      </w:r>
      <w:r>
        <w:instrText xml:space="preserve"> HYPERLINK "https://www.vatican.va/archive/hist_councils/ii_vatican_council/documents/vat-ii_const_19651118_dei-verbum_it.html" \l "_ftn22" \o "" </w:instrText>
      </w:r>
      <w:r>
        <w:fldChar w:fldCharType="separate"/>
      </w:r>
      <w:r>
        <w:rPr>
          <w:rStyle w:val="Collegamentoipertestuale"/>
        </w:rPr>
        <w:t>22</w:t>
      </w:r>
      <w:r>
        <w:fldChar w:fldCharType="end"/>
      </w:r>
      <w:bookmarkEnd w:id="1"/>
      <w:r>
        <w:t>] (</w:t>
      </w:r>
      <w:proofErr w:type="spellStart"/>
      <w:r>
        <w:t>Cum</w:t>
      </w:r>
      <w:proofErr w:type="spellEnd"/>
      <w:r>
        <w:t xml:space="preserve"> </w:t>
      </w:r>
      <w:proofErr w:type="spellStart"/>
      <w:r>
        <w:t>autem</w:t>
      </w:r>
      <w:proofErr w:type="spellEnd"/>
      <w:r>
        <w:t xml:space="preserve"> Deus in Sacra </w:t>
      </w:r>
      <w:proofErr w:type="spellStart"/>
      <w:r>
        <w:t>Scriptura</w:t>
      </w:r>
      <w:proofErr w:type="spellEnd"/>
      <w:r>
        <w:t xml:space="preserve"> per </w:t>
      </w:r>
      <w:proofErr w:type="spellStart"/>
      <w:r>
        <w:t>homines</w:t>
      </w:r>
      <w:proofErr w:type="spellEnd"/>
      <w:r>
        <w:t xml:space="preserve"> more </w:t>
      </w:r>
      <w:proofErr w:type="spellStart"/>
      <w:r>
        <w:t>hominum</w:t>
      </w:r>
      <w:proofErr w:type="spellEnd"/>
      <w:r>
        <w:t xml:space="preserve"> </w:t>
      </w:r>
      <w:proofErr w:type="spellStart"/>
      <w:r>
        <w:t>locutus</w:t>
      </w:r>
      <w:proofErr w:type="spellEnd"/>
      <w:r>
        <w:t xml:space="preserve"> </w:t>
      </w:r>
      <w:proofErr w:type="spellStart"/>
      <w:r>
        <w:t>sit</w:t>
      </w:r>
      <w:proofErr w:type="spellEnd"/>
      <w:r>
        <w:t>), l'interprete della sacra Scrittura, per capir bene ciò che egli ha voluto comunicarci, deve ricercare con attenzione che cosa gli agiografi abbiano veramente voluto dire e a Dio è piaciuto manifestare con le loro parole (</w:t>
      </w:r>
      <w:proofErr w:type="spellStart"/>
      <w:r>
        <w:t>Interpres</w:t>
      </w:r>
      <w:proofErr w:type="spellEnd"/>
      <w:r>
        <w:t xml:space="preserve"> </w:t>
      </w:r>
      <w:proofErr w:type="spellStart"/>
      <w:r>
        <w:t>Sacrae</w:t>
      </w:r>
      <w:proofErr w:type="spellEnd"/>
      <w:r>
        <w:t xml:space="preserve"> </w:t>
      </w:r>
      <w:proofErr w:type="spellStart"/>
      <w:r>
        <w:t>Scripturae</w:t>
      </w:r>
      <w:proofErr w:type="spellEnd"/>
      <w:r>
        <w:t xml:space="preserve">, ut </w:t>
      </w:r>
      <w:proofErr w:type="spellStart"/>
      <w:r>
        <w:t>perspiciat</w:t>
      </w:r>
      <w:proofErr w:type="spellEnd"/>
      <w:r>
        <w:t xml:space="preserve">, quid Ipse </w:t>
      </w:r>
      <w:proofErr w:type="spellStart"/>
      <w:r>
        <w:t>nobiscum</w:t>
      </w:r>
      <w:proofErr w:type="spellEnd"/>
      <w:r>
        <w:t xml:space="preserve"> </w:t>
      </w:r>
      <w:proofErr w:type="spellStart"/>
      <w:r>
        <w:t>communicare</w:t>
      </w:r>
      <w:proofErr w:type="spellEnd"/>
      <w:r>
        <w:t xml:space="preserve"> </w:t>
      </w:r>
      <w:proofErr w:type="spellStart"/>
      <w:r>
        <w:t>voluerit</w:t>
      </w:r>
      <w:proofErr w:type="spellEnd"/>
      <w:r>
        <w:t xml:space="preserve">, attente investigare </w:t>
      </w:r>
      <w:proofErr w:type="spellStart"/>
      <w:r>
        <w:t>debet</w:t>
      </w:r>
      <w:proofErr w:type="spellEnd"/>
      <w:r>
        <w:t xml:space="preserve">, quid </w:t>
      </w:r>
      <w:proofErr w:type="spellStart"/>
      <w:r>
        <w:t>hagiographi</w:t>
      </w:r>
      <w:proofErr w:type="spellEnd"/>
      <w:r>
        <w:t xml:space="preserve"> </w:t>
      </w:r>
      <w:proofErr w:type="spellStart"/>
      <w:r>
        <w:t>reapse</w:t>
      </w:r>
      <w:proofErr w:type="spellEnd"/>
      <w:r>
        <w:t xml:space="preserve"> significare </w:t>
      </w:r>
      <w:proofErr w:type="spellStart"/>
      <w:r>
        <w:t>intenderint</w:t>
      </w:r>
      <w:proofErr w:type="spellEnd"/>
      <w:r>
        <w:t xml:space="preserve"> et </w:t>
      </w:r>
      <w:proofErr w:type="spellStart"/>
      <w:r>
        <w:t>eorum</w:t>
      </w:r>
      <w:proofErr w:type="spellEnd"/>
      <w:r>
        <w:t xml:space="preserve"> </w:t>
      </w:r>
      <w:proofErr w:type="spellStart"/>
      <w:r>
        <w:t>verbis</w:t>
      </w:r>
      <w:proofErr w:type="spellEnd"/>
      <w:r>
        <w:t xml:space="preserve"> manifestare Deo </w:t>
      </w:r>
      <w:proofErr w:type="spellStart"/>
      <w:r>
        <w:t>placuerit</w:t>
      </w:r>
      <w:proofErr w:type="spellEnd"/>
      <w:r>
        <w:t>).</w:t>
      </w:r>
    </w:p>
    <w:p w14:paraId="3747594A" w14:textId="77777777" w:rsidR="00C4647A" w:rsidRDefault="00C4647A" w:rsidP="00C4647A">
      <w:pPr>
        <w:pBdr>
          <w:top w:val="single" w:sz="4" w:space="1" w:color="auto"/>
          <w:left w:val="single" w:sz="4" w:space="4" w:color="auto"/>
          <w:bottom w:val="single" w:sz="4" w:space="1" w:color="auto"/>
          <w:right w:val="single" w:sz="4" w:space="4" w:color="auto"/>
        </w:pBdr>
        <w:ind w:left="142" w:firstLine="0"/>
      </w:pPr>
      <w:r>
        <w:t xml:space="preserve">Per ricavare l'intenzione degli agiografi, si deve tener conto fra l'altro anche dei generi letterari (Ad </w:t>
      </w:r>
      <w:proofErr w:type="spellStart"/>
      <w:r>
        <w:t>hagiographorum</w:t>
      </w:r>
      <w:proofErr w:type="spellEnd"/>
      <w:r>
        <w:t xml:space="preserve"> </w:t>
      </w:r>
      <w:proofErr w:type="spellStart"/>
      <w:r>
        <w:t>intentionem</w:t>
      </w:r>
      <w:proofErr w:type="spellEnd"/>
      <w:r>
        <w:t xml:space="preserve"> </w:t>
      </w:r>
      <w:proofErr w:type="spellStart"/>
      <w:r>
        <w:t>eruendam</w:t>
      </w:r>
      <w:proofErr w:type="spellEnd"/>
      <w:r>
        <w:t xml:space="preserve"> inter alia </w:t>
      </w:r>
      <w:proofErr w:type="spellStart"/>
      <w:r>
        <w:t>etiam</w:t>
      </w:r>
      <w:proofErr w:type="spellEnd"/>
      <w:r>
        <w:t xml:space="preserve"> genera </w:t>
      </w:r>
      <w:proofErr w:type="spellStart"/>
      <w:r>
        <w:t>litteraria</w:t>
      </w:r>
      <w:proofErr w:type="spellEnd"/>
      <w:r>
        <w:t xml:space="preserve"> </w:t>
      </w:r>
      <w:proofErr w:type="spellStart"/>
      <w:r>
        <w:t>respicienda</w:t>
      </w:r>
      <w:proofErr w:type="spellEnd"/>
      <w:r>
        <w:t xml:space="preserve"> </w:t>
      </w:r>
      <w:proofErr w:type="spellStart"/>
      <w:r>
        <w:t>sunt</w:t>
      </w:r>
      <w:proofErr w:type="spellEnd"/>
      <w:r>
        <w:t>). Per ricavare l'intenzione degli agiografi, si deve tener conto fra l'altro anche dei generi letterari</w:t>
      </w:r>
      <w:r w:rsidRPr="00C4647A">
        <w:rPr>
          <w:iCs/>
        </w:rPr>
        <w:t>»</w:t>
      </w:r>
      <w:r>
        <w:t>. La verità infatti viene diversamente proposta ed espressa in testi in vario modo storici, o profetici, o poetici, o anche in altri generi di espressione. È necessario adunque che l'interprete ricerchi il senso che l'agiografo in determinate circostanze, secondo la condizione del suo tempo e della sua cultura, per mezzo dei generi letterari allora in uso, intendeva esprimere ed ha di fatto espresso [</w:t>
      </w:r>
      <w:bookmarkStart w:id="2" w:name="_ftnref23"/>
      <w:r>
        <w:fldChar w:fldCharType="begin"/>
      </w:r>
      <w:r>
        <w:instrText xml:space="preserve"> HYPERLINK "https://www.vatican.va/archive/hist_councils/ii_vatican_council/documents/vat-ii_const_19651118_dei-verbum_it.html" \l "_ftn23" \o "" </w:instrText>
      </w:r>
      <w:r>
        <w:fldChar w:fldCharType="separate"/>
      </w:r>
      <w:r>
        <w:rPr>
          <w:rStyle w:val="Collegamentoipertestuale"/>
        </w:rPr>
        <w:t>23</w:t>
      </w:r>
      <w:r>
        <w:fldChar w:fldCharType="end"/>
      </w:r>
      <w:bookmarkEnd w:id="2"/>
      <w:r>
        <w:t>]. Per comprendere infatti in maniera esatta ciò che l'autore sacro volle asserire nello scrivere, si deve far debita attenzione sia agli abituali e originali modi di sentire, di esprimersi e di raccontare vigenti ai tempi dell'agiografo, sia a quelli che nei vari luoghi erano allora in uso nei rapporti umani [</w:t>
      </w:r>
      <w:bookmarkStart w:id="3" w:name="_ftnref21"/>
      <w:r>
        <w:fldChar w:fldCharType="begin"/>
      </w:r>
      <w:r>
        <w:instrText xml:space="preserve"> HYPERLINK "https://www.vatican.va/archive/hist_councils/ii_vatican_council/documents/vat-ii_const_19651118_dei-verbum_it.html" \l "_ftn24" \o "" </w:instrText>
      </w:r>
      <w:r>
        <w:fldChar w:fldCharType="separate"/>
      </w:r>
      <w:r>
        <w:rPr>
          <w:rStyle w:val="Collegamentoipertestuale"/>
        </w:rPr>
        <w:t>24</w:t>
      </w:r>
      <w:r>
        <w:fldChar w:fldCharType="end"/>
      </w:r>
      <w:bookmarkEnd w:id="3"/>
      <w:r>
        <w:t>].</w:t>
      </w:r>
    </w:p>
    <w:p w14:paraId="4739487E" w14:textId="77777777" w:rsidR="00C4647A" w:rsidRDefault="005A7DC4" w:rsidP="00C4647A">
      <w:pPr>
        <w:pStyle w:val="Paragrafoelenco"/>
        <w:numPr>
          <w:ilvl w:val="0"/>
          <w:numId w:val="3"/>
        </w:numPr>
        <w:ind w:left="357" w:hanging="357"/>
      </w:pPr>
      <w:r>
        <w:t>Valore del linguaggio umano</w:t>
      </w:r>
    </w:p>
    <w:p w14:paraId="7B9EF717" w14:textId="77777777" w:rsidR="005A7DC4" w:rsidRDefault="005A7DC4" w:rsidP="00C4647A">
      <w:pPr>
        <w:pStyle w:val="Paragrafoelenco"/>
        <w:numPr>
          <w:ilvl w:val="0"/>
          <w:numId w:val="3"/>
        </w:numPr>
        <w:ind w:left="357" w:hanging="357"/>
      </w:pPr>
      <w:r>
        <w:t>Riconoscimento dei generi letterari e ulteriori sviluppi.</w:t>
      </w:r>
    </w:p>
    <w:p w14:paraId="1C7A2E16" w14:textId="77777777" w:rsidR="005A7DC4" w:rsidRDefault="005A7DC4" w:rsidP="00C4647A">
      <w:pPr>
        <w:pStyle w:val="Paragrafoelenco"/>
        <w:numPr>
          <w:ilvl w:val="0"/>
          <w:numId w:val="3"/>
        </w:numPr>
        <w:ind w:left="357" w:hanging="357"/>
      </w:pPr>
      <w:r>
        <w:t>Necessità dello studio ermeneutico sul linguaggio</w:t>
      </w:r>
    </w:p>
    <w:p w14:paraId="1646B7DE" w14:textId="77777777" w:rsidR="005A7DC4" w:rsidRDefault="005A7DC4">
      <w:pPr>
        <w:spacing w:after="160" w:line="259" w:lineRule="auto"/>
        <w:ind w:firstLine="0"/>
      </w:pPr>
      <w:r>
        <w:br w:type="page"/>
      </w:r>
    </w:p>
    <w:p w14:paraId="32088A21" w14:textId="77777777" w:rsidR="005A7DC4" w:rsidRPr="005A7DC4" w:rsidRDefault="005A7DC4" w:rsidP="005A7DC4">
      <w:pPr>
        <w:keepNext/>
        <w:keepLines/>
        <w:spacing w:before="120" w:after="120"/>
        <w:ind w:left="284" w:firstLine="0"/>
        <w:outlineLvl w:val="1"/>
        <w:rPr>
          <w:rFonts w:eastAsia="Times New Roman"/>
          <w:i/>
          <w:szCs w:val="20"/>
        </w:rPr>
      </w:pPr>
      <w:r w:rsidRPr="005A7DC4">
        <w:rPr>
          <w:rFonts w:eastAsia="Times New Roman"/>
          <w:i/>
          <w:szCs w:val="20"/>
        </w:rPr>
        <w:lastRenderedPageBreak/>
        <w:t>ERMENEUTICA FILOSOFICA ED ERMENEUTICA BIBLICA</w:t>
      </w:r>
    </w:p>
    <w:p w14:paraId="0CA7DC99" w14:textId="77777777" w:rsidR="005A7DC4" w:rsidRPr="005A7DC4" w:rsidRDefault="005A7DC4" w:rsidP="005A7DC4">
      <w:pPr>
        <w:spacing w:before="60" w:after="60"/>
        <w:outlineLvl w:val="2"/>
      </w:pPr>
      <w:r w:rsidRPr="005A7DC4">
        <w:t>ANTICHITÀ CLASSICA ED ELLENISTICA</w:t>
      </w:r>
    </w:p>
    <w:p w14:paraId="1EC68D6F" w14:textId="77777777" w:rsidR="005A7DC4" w:rsidRDefault="005A7DC4" w:rsidP="005A7DC4">
      <w:pPr>
        <w:pStyle w:val="Paragrafoelenco"/>
        <w:numPr>
          <w:ilvl w:val="0"/>
          <w:numId w:val="6"/>
        </w:numPr>
        <w:ind w:left="357" w:hanging="357"/>
      </w:pPr>
      <w:proofErr w:type="spellStart"/>
      <w:r w:rsidRPr="005A7DC4">
        <w:rPr>
          <w:i/>
        </w:rPr>
        <w:t>Hermeneuein</w:t>
      </w:r>
      <w:proofErr w:type="spellEnd"/>
      <w:r w:rsidRPr="005A7DC4">
        <w:t xml:space="preserve"> nella grecità classica designa sia il processo di elocuzione (=come il pensiero va al discorso), sia il processo dell’interpretazione (=come dal discorso si va al pensiero che l’ha originato). </w:t>
      </w:r>
    </w:p>
    <w:p w14:paraId="422CA97A" w14:textId="77777777" w:rsidR="005A7DC4" w:rsidRDefault="005A7DC4" w:rsidP="005A7DC4">
      <w:pPr>
        <w:pStyle w:val="Paragrafoelenco"/>
        <w:numPr>
          <w:ilvl w:val="0"/>
          <w:numId w:val="6"/>
        </w:numPr>
        <w:ind w:left="357" w:hanging="357"/>
      </w:pPr>
      <w:r w:rsidRPr="005A7DC4">
        <w:t>Le questioni che oggi chiamiamo ermeneuti</w:t>
      </w:r>
      <w:r>
        <w:t xml:space="preserve">che </w:t>
      </w:r>
      <w:proofErr w:type="gramStart"/>
      <w:r>
        <w:t>erano ambito</w:t>
      </w:r>
      <w:proofErr w:type="gramEnd"/>
      <w:r>
        <w:t xml:space="preserve"> della retorica</w:t>
      </w:r>
      <w:r w:rsidRPr="005A7DC4">
        <w:t>.</w:t>
      </w:r>
    </w:p>
    <w:p w14:paraId="466E721B" w14:textId="77777777" w:rsidR="005A7DC4" w:rsidRPr="005A7DC4" w:rsidRDefault="005A7DC4" w:rsidP="005A7DC4">
      <w:r w:rsidRPr="005A7DC4">
        <w:t xml:space="preserve">Nell’ellenismo nascono problemi: </w:t>
      </w:r>
    </w:p>
    <w:p w14:paraId="161C45E9" w14:textId="77777777" w:rsidR="005A7DC4" w:rsidRPr="005A7DC4" w:rsidRDefault="005A7DC4" w:rsidP="005A7DC4">
      <w:pPr>
        <w:numPr>
          <w:ilvl w:val="0"/>
          <w:numId w:val="6"/>
        </w:numPr>
        <w:contextualSpacing/>
      </w:pPr>
      <w:r w:rsidRPr="005A7DC4">
        <w:rPr>
          <w:noProof/>
          <w:lang w:eastAsia="it-IT"/>
        </w:rPr>
        <mc:AlternateContent>
          <mc:Choice Requires="wps">
            <w:drawing>
              <wp:anchor distT="0" distB="0" distL="114300" distR="114300" simplePos="0" relativeHeight="251659264" behindDoc="0" locked="0" layoutInCell="1" allowOverlap="1" wp14:anchorId="22359C19" wp14:editId="7DB21CE8">
                <wp:simplePos x="0" y="0"/>
                <wp:positionH relativeFrom="column">
                  <wp:posOffset>2545822</wp:posOffset>
                </wp:positionH>
                <wp:positionV relativeFrom="paragraph">
                  <wp:posOffset>51814</wp:posOffset>
                </wp:positionV>
                <wp:extent cx="437990" cy="45719"/>
                <wp:effectExtent l="0" t="38100" r="38735" b="88265"/>
                <wp:wrapNone/>
                <wp:docPr id="1" name="Connettore 2 1"/>
                <wp:cNvGraphicFramePr/>
                <a:graphic xmlns:a="http://schemas.openxmlformats.org/drawingml/2006/main">
                  <a:graphicData uri="http://schemas.microsoft.com/office/word/2010/wordprocessingShape">
                    <wps:wsp>
                      <wps:cNvCnPr/>
                      <wps:spPr>
                        <a:xfrm>
                          <a:off x="0" y="0"/>
                          <a:ext cx="437990" cy="45719"/>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CA75967" id="_x0000_t32" coordsize="21600,21600" o:spt="32" o:oned="t" path="m,l21600,21600e" filled="f">
                <v:path arrowok="t" fillok="f" o:connecttype="none"/>
                <o:lock v:ext="edit" shapetype="t"/>
              </v:shapetype>
              <v:shape id="Connettore 2 1" o:spid="_x0000_s1026" type="#_x0000_t32" style="position:absolute;margin-left:200.45pt;margin-top:4.1pt;width:34.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" strokecolor="#5b9bd5" strokeweight=".5pt">
                <v:stroke endarrow="block" joinstyle="miter"/>
              </v:shape>
            </w:pict>
          </mc:Fallback>
        </mc:AlternateContent>
      </w:r>
      <w:r w:rsidRPr="005A7DC4">
        <w:t>il linguaggio di Omero è arcaico</w:t>
      </w:r>
      <w:r w:rsidRPr="005A7DC4">
        <w:tab/>
      </w:r>
      <w:r w:rsidRPr="005A7DC4">
        <w:tab/>
      </w:r>
      <w:proofErr w:type="spellStart"/>
      <w:r w:rsidRPr="005A7DC4">
        <w:t>sensus</w:t>
      </w:r>
      <w:proofErr w:type="spellEnd"/>
      <w:r w:rsidRPr="005A7DC4">
        <w:t xml:space="preserve"> </w:t>
      </w:r>
      <w:proofErr w:type="spellStart"/>
      <w:r w:rsidRPr="005A7DC4">
        <w:t>grammaticus</w:t>
      </w:r>
      <w:proofErr w:type="spellEnd"/>
      <w:r w:rsidRPr="005A7DC4">
        <w:t>, il valore letterale delle sue espressioni scuola attorno al museo di Alessandria</w:t>
      </w:r>
    </w:p>
    <w:p w14:paraId="55B2B5CA" w14:textId="77777777" w:rsidR="005A7DC4" w:rsidRDefault="005A7DC4" w:rsidP="005A7DC4">
      <w:pPr>
        <w:numPr>
          <w:ilvl w:val="0"/>
          <w:numId w:val="6"/>
        </w:numPr>
        <w:contextualSpacing/>
      </w:pPr>
      <w:r w:rsidRPr="005A7DC4">
        <w:rPr>
          <w:noProof/>
          <w:lang w:eastAsia="it-IT"/>
        </w:rPr>
        <mc:AlternateContent>
          <mc:Choice Requires="wps">
            <w:drawing>
              <wp:anchor distT="0" distB="0" distL="114300" distR="114300" simplePos="0" relativeHeight="251660288" behindDoc="0" locked="0" layoutInCell="1" allowOverlap="1" wp14:anchorId="350BE878" wp14:editId="0F966434">
                <wp:simplePos x="0" y="0"/>
                <wp:positionH relativeFrom="column">
                  <wp:posOffset>3341032</wp:posOffset>
                </wp:positionH>
                <wp:positionV relativeFrom="paragraph">
                  <wp:posOffset>81280</wp:posOffset>
                </wp:positionV>
                <wp:extent cx="437990" cy="45719"/>
                <wp:effectExtent l="0" t="38100" r="38735" b="88265"/>
                <wp:wrapNone/>
                <wp:docPr id="2" name="Connettore 2 2"/>
                <wp:cNvGraphicFramePr/>
                <a:graphic xmlns:a="http://schemas.openxmlformats.org/drawingml/2006/main">
                  <a:graphicData uri="http://schemas.microsoft.com/office/word/2010/wordprocessingShape">
                    <wps:wsp>
                      <wps:cNvCnPr/>
                      <wps:spPr>
                        <a:xfrm>
                          <a:off x="0" y="0"/>
                          <a:ext cx="437990" cy="45719"/>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58767E2" id="_x0000_t32" coordsize="21600,21600" o:spt="32" o:oned="t" path="m,l21600,21600e" filled="f">
                <v:path arrowok="t" fillok="f" o:connecttype="none"/>
                <o:lock v:ext="edit" shapetype="t"/>
              </v:shapetype>
              <v:shape id="Connettore 2 2" o:spid="_x0000_s1026" type="#_x0000_t32" style="position:absolute;margin-left:263.05pt;margin-top:6.4pt;width:34.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" strokecolor="#5b9bd5" strokeweight=".5pt">
                <v:stroke endarrow="block" joinstyle="miter"/>
              </v:shape>
            </w:pict>
          </mc:Fallback>
        </mc:AlternateContent>
      </w:r>
      <w:r w:rsidRPr="005A7DC4">
        <w:t>Aspetti dei miti antichi sono problematici</w:t>
      </w:r>
      <w:r w:rsidRPr="005A7DC4">
        <w:tab/>
      </w:r>
      <w:r w:rsidRPr="005A7DC4">
        <w:tab/>
        <w:t>senso allegorico, rappresenta altro rispetto alla lettera, funzionale all’</w:t>
      </w:r>
      <w:proofErr w:type="spellStart"/>
      <w:r w:rsidRPr="005A7DC4">
        <w:rPr>
          <w:i/>
        </w:rPr>
        <w:t>intentio</w:t>
      </w:r>
      <w:proofErr w:type="spellEnd"/>
      <w:r w:rsidRPr="005A7DC4">
        <w:rPr>
          <w:i/>
        </w:rPr>
        <w:t xml:space="preserve"> </w:t>
      </w:r>
      <w:proofErr w:type="spellStart"/>
      <w:r w:rsidRPr="005A7DC4">
        <w:rPr>
          <w:i/>
        </w:rPr>
        <w:t>lectoris</w:t>
      </w:r>
      <w:proofErr w:type="spellEnd"/>
      <w:r w:rsidRPr="005A7DC4">
        <w:t xml:space="preserve"> scuola di Pergamo.</w:t>
      </w:r>
    </w:p>
    <w:p w14:paraId="43F4DE6C" w14:textId="77777777" w:rsidR="005A7DC4" w:rsidRDefault="005A7DC4" w:rsidP="005A7DC4">
      <w:pPr>
        <w:pStyle w:val="Paragrafoelenco"/>
        <w:numPr>
          <w:ilvl w:val="0"/>
          <w:numId w:val="6"/>
        </w:numPr>
        <w:ind w:left="357" w:hanging="357"/>
      </w:pPr>
      <w:r>
        <w:t>Cristianesimo e senso della storia</w:t>
      </w:r>
    </w:p>
    <w:p w14:paraId="2405BF7C" w14:textId="77777777" w:rsidR="005A7DC4" w:rsidRPr="005A7DC4" w:rsidRDefault="005A7DC4" w:rsidP="005A7DC4">
      <w:pPr>
        <w:spacing w:before="60" w:after="60"/>
        <w:outlineLvl w:val="2"/>
      </w:pPr>
      <w:r w:rsidRPr="005A7DC4">
        <w:t>ERMENEUTICA PATRISTICA</w:t>
      </w:r>
    </w:p>
    <w:p w14:paraId="24F59FD9" w14:textId="77777777" w:rsidR="005A7DC4" w:rsidRPr="005A7DC4" w:rsidRDefault="005A7DC4" w:rsidP="005A7DC4">
      <w:pPr>
        <w:pStyle w:val="Paragrafoelenco"/>
        <w:numPr>
          <w:ilvl w:val="0"/>
          <w:numId w:val="7"/>
        </w:numPr>
        <w:autoSpaceDE w:val="0"/>
        <w:autoSpaceDN w:val="0"/>
        <w:adjustRightInd w:val="0"/>
        <w:ind w:left="357" w:hanging="357"/>
      </w:pPr>
      <w:r>
        <w:t>Girolamo, commento a Giona</w:t>
      </w:r>
      <w:r w:rsidRPr="005A7DC4">
        <w:t xml:space="preserve">. Valutazione: sebbene non nasconda la problematicità di certe affermazioni è tutto teso 1) a leggere la realtà di fede che esse esprimono. Da qui un’allegoria che di fatto è inaugurata dal </w:t>
      </w:r>
      <w:proofErr w:type="spellStart"/>
      <w:r w:rsidRPr="005A7DC4">
        <w:t>loghion</w:t>
      </w:r>
      <w:proofErr w:type="spellEnd"/>
      <w:r w:rsidRPr="005A7DC4">
        <w:t xml:space="preserve"> evangelico sul segno di Giona, che cmq raccomanda di utilizzare con discrezione, senza tendenzialmente perdere contatto con la “lettera” del racconto. Così in 3,10 si chiede se l’intento salvifico non sia stato in origine quello divino, che la profezia di Giona di fatto avrebbe occultato (lettura narrativa azzeccata)! 2) a leggere tale realtà nel contesto culturale – di polemica anti ebraica. Il verme che rode e secca la pianta sono gli eserciti romani che hanno distrutto Israele dopo la resurrezione di Cristo (allegoria spinta).</w:t>
      </w:r>
    </w:p>
    <w:p w14:paraId="7E021B60" w14:textId="112A0278" w:rsidR="005A7DC4" w:rsidRPr="005A7DC4" w:rsidRDefault="005A7DC4" w:rsidP="005A7DC4">
      <w:pPr>
        <w:pStyle w:val="Paragrafoelenco"/>
        <w:numPr>
          <w:ilvl w:val="0"/>
          <w:numId w:val="7"/>
        </w:numPr>
        <w:autoSpaceDE w:val="0"/>
        <w:autoSpaceDN w:val="0"/>
        <w:adjustRightInd w:val="0"/>
        <w:ind w:left="357" w:hanging="357"/>
      </w:pPr>
      <w:r w:rsidRPr="005A7DC4">
        <w:t xml:space="preserve">Origene </w:t>
      </w:r>
      <w:r w:rsidRPr="005A7DC4">
        <w:rPr>
          <w:lang w:val="el-GR"/>
        </w:rPr>
        <w:t>περὶ</w:t>
      </w:r>
      <w:r w:rsidRPr="005A7DC4">
        <w:t xml:space="preserve"> </w:t>
      </w:r>
      <w:r w:rsidRPr="005A7DC4">
        <w:rPr>
          <w:lang w:val="el-GR"/>
        </w:rPr>
        <w:t>ἂρχων</w:t>
      </w:r>
      <w:r w:rsidRPr="005A7DC4">
        <w:t xml:space="preserve"> Libro IV sui principi esegetici. </w:t>
      </w:r>
      <w:r w:rsidR="00D41649">
        <w:t>Cap.1</w:t>
      </w:r>
      <w:r w:rsidRPr="005A7DC4">
        <w:t xml:space="preserve"> l</w:t>
      </w:r>
      <w:r w:rsidR="00D41649">
        <w:t>’</w:t>
      </w:r>
      <w:r w:rsidRPr="005A7DC4">
        <w:t>a</w:t>
      </w:r>
      <w:r w:rsidR="00D41649">
        <w:t>vverata</w:t>
      </w:r>
      <w:r w:rsidRPr="005A7DC4">
        <w:t xml:space="preserve"> previsione di legge e profeti riguardo Gesù e la sua divinità ne dimostra l’ispirazione (intento apologetico), per cui con la venuta di Cristo è tolto il velo su Mosè (cfr. 2Cor 3,15ss). </w:t>
      </w:r>
      <w:r w:rsidR="00D41649">
        <w:t>Cap.</w:t>
      </w:r>
      <w:r w:rsidRPr="005A7DC4">
        <w:t xml:space="preserve">2.1 </w:t>
      </w:r>
      <w:r w:rsidR="00D41649">
        <w:t>gli errori di lettura degli ebrei e degli eretici (=gnostici)</w:t>
      </w:r>
      <w:r w:rsidRPr="005A7DC4">
        <w:t xml:space="preserve">. 2.2 “la causa di queste false opinioni deriva dal non cogliere la Scrittura nel suo senso spirituale, ma dal fermarsi alla sola lettera”. “per chi crede che le Scritture siano ispirate è necessario un metodo per la comprensione che sia secondo la </w:t>
      </w:r>
      <w:proofErr w:type="spellStart"/>
      <w:r w:rsidRPr="005A7DC4">
        <w:rPr>
          <w:i/>
        </w:rPr>
        <w:t>regula</w:t>
      </w:r>
      <w:proofErr w:type="spellEnd"/>
      <w:r w:rsidRPr="005A7DC4">
        <w:rPr>
          <w:i/>
        </w:rPr>
        <w:t xml:space="preserve"> – il </w:t>
      </w:r>
      <w:proofErr w:type="spellStart"/>
      <w:r w:rsidRPr="005A7DC4">
        <w:rPr>
          <w:i/>
        </w:rPr>
        <w:t>kanon</w:t>
      </w:r>
      <w:proofErr w:type="spellEnd"/>
      <w:r w:rsidRPr="005A7DC4">
        <w:t xml:space="preserve"> della Chiesa celeste di Gesù Cristo trasmessa dagli apostoli”. 2.4 questo metodo è desunto dalla sua tripartizione antropologica: il </w:t>
      </w:r>
      <w:r w:rsidRPr="005A7DC4">
        <w:rPr>
          <w:i/>
        </w:rPr>
        <w:t xml:space="preserve">corpus </w:t>
      </w:r>
      <w:proofErr w:type="spellStart"/>
      <w:r w:rsidRPr="005A7DC4">
        <w:rPr>
          <w:i/>
        </w:rPr>
        <w:t>scripturarum</w:t>
      </w:r>
      <w:proofErr w:type="spellEnd"/>
      <w:r w:rsidRPr="005A7DC4">
        <w:t xml:space="preserve"> </w:t>
      </w:r>
      <w:proofErr w:type="spellStart"/>
      <w:r w:rsidRPr="005A7DC4">
        <w:rPr>
          <w:i/>
        </w:rPr>
        <w:t>sarx</w:t>
      </w:r>
      <w:proofErr w:type="spellEnd"/>
      <w:r w:rsidRPr="005A7DC4">
        <w:rPr>
          <w:i/>
        </w:rPr>
        <w:t xml:space="preserve"> </w:t>
      </w:r>
      <w:proofErr w:type="spellStart"/>
      <w:r w:rsidRPr="005A7DC4">
        <w:rPr>
          <w:i/>
        </w:rPr>
        <w:t>tes</w:t>
      </w:r>
      <w:proofErr w:type="spellEnd"/>
      <w:r w:rsidRPr="005A7DC4">
        <w:rPr>
          <w:i/>
        </w:rPr>
        <w:t xml:space="preserve"> </w:t>
      </w:r>
      <w:proofErr w:type="spellStart"/>
      <w:r w:rsidRPr="005A7DC4">
        <w:rPr>
          <w:i/>
        </w:rPr>
        <w:t>graphes</w:t>
      </w:r>
      <w:proofErr w:type="spellEnd"/>
      <w:r w:rsidRPr="005A7DC4">
        <w:t xml:space="preserve"> per i </w:t>
      </w:r>
      <w:proofErr w:type="spellStart"/>
      <w:r w:rsidRPr="005A7DC4">
        <w:rPr>
          <w:i/>
        </w:rPr>
        <w:t>simpliciores</w:t>
      </w:r>
      <w:proofErr w:type="spellEnd"/>
      <w:r w:rsidRPr="005A7DC4">
        <w:t xml:space="preserve"> la materialità dello scritto; l’</w:t>
      </w:r>
      <w:r w:rsidRPr="005A7DC4">
        <w:rPr>
          <w:i/>
        </w:rPr>
        <w:t xml:space="preserve">anima – </w:t>
      </w:r>
      <w:proofErr w:type="spellStart"/>
      <w:r w:rsidRPr="005A7DC4">
        <w:rPr>
          <w:i/>
        </w:rPr>
        <w:t>psyche</w:t>
      </w:r>
      <w:proofErr w:type="spellEnd"/>
      <w:r w:rsidRPr="005A7DC4">
        <w:t xml:space="preserve"> per i </w:t>
      </w:r>
      <w:r w:rsidRPr="005A7DC4">
        <w:rPr>
          <w:i/>
        </w:rPr>
        <w:t>progredienti</w:t>
      </w:r>
      <w:r w:rsidR="00D41649">
        <w:rPr>
          <w:iCs/>
        </w:rPr>
        <w:t xml:space="preserve"> (=senso morale)</w:t>
      </w:r>
      <w:r w:rsidRPr="005A7DC4">
        <w:t xml:space="preserve">; </w:t>
      </w:r>
      <w:r w:rsidRPr="005A7DC4">
        <w:rPr>
          <w:i/>
        </w:rPr>
        <w:t xml:space="preserve">lege spirituale </w:t>
      </w:r>
      <w:r w:rsidRPr="005A7DC4">
        <w:t>[</w:t>
      </w:r>
      <w:r w:rsidR="00D41649">
        <w:t xml:space="preserve">senso spirituale, </w:t>
      </w:r>
      <w:r w:rsidRPr="005A7DC4">
        <w:t xml:space="preserve">l’allegoria –così detta in altri passi] per gli </w:t>
      </w:r>
      <w:r w:rsidRPr="005A7DC4">
        <w:rPr>
          <w:i/>
        </w:rPr>
        <w:t>spirituali</w:t>
      </w:r>
      <w:r w:rsidRPr="005A7DC4">
        <w:t>/</w:t>
      </w:r>
      <w:r w:rsidRPr="005A7DC4">
        <w:rPr>
          <w:i/>
        </w:rPr>
        <w:t xml:space="preserve">perfetti </w:t>
      </w:r>
      <w:r w:rsidRPr="005A7DC4">
        <w:t xml:space="preserve">(secondo 1Cor 2,6-15). Questo è ricondotto, nella sua opera, al mistero di Cristo annunciato dalla Chiesa 2.9 proprio per aiutare il passaggio all’intelligenza spirituale lo </w:t>
      </w:r>
      <w:proofErr w:type="spellStart"/>
      <w:r w:rsidRPr="005A7DC4">
        <w:t>SpS</w:t>
      </w:r>
      <w:proofErr w:type="spellEnd"/>
      <w:r w:rsidRPr="005A7DC4">
        <w:t xml:space="preserve"> ha introdotto nella Bibbia cose inverosimili, che non potevano accadere, o che potevano ma non sono accadute. E poiché lo stesso </w:t>
      </w:r>
      <w:proofErr w:type="spellStart"/>
      <w:r w:rsidRPr="005A7DC4">
        <w:t>SpS</w:t>
      </w:r>
      <w:proofErr w:type="spellEnd"/>
      <w:r w:rsidRPr="005A7DC4">
        <w:t xml:space="preserve"> ispira il NT, così ha fatto anche nel NT in genere. 3.1 es</w:t>
      </w:r>
      <w:r>
        <w:t>empio</w:t>
      </w:r>
      <w:r w:rsidRPr="005A7DC4">
        <w:t xml:space="preserve"> di questo: “quale uomo sensato può pensare che si abbia un primo – secondo –terzo giorno con sera e mattino se non c’era ancora il sole e la luna?” o anche: come può il diavolo portare Gesù su di un’alta montagna da cui si possano veramente vedere tutti i regni della </w:t>
      </w:r>
      <w:proofErr w:type="gramStart"/>
      <w:r w:rsidRPr="005A7DC4">
        <w:t>terra?.</w:t>
      </w:r>
      <w:proofErr w:type="gramEnd"/>
      <w:r w:rsidRPr="005A7DC4">
        <w:t xml:space="preserve"> 3.4 “compito dello Spirito Santo è farci comprendere che nel tessuto di questa storia visibile sono intessute alcune cose che, considerate e comprese in modo più interiore, esprimono una legge utile agli uomini e degna di Dio”. Con questo non nega che molti passi della Bibbia abbiano valore storico. Comunque anche nel NT alcuni fatti sono allegorizzati in senso spirituale: ad es. le malattie guarite da Gesù divengono mali dell’anima.</w:t>
      </w:r>
    </w:p>
    <w:p w14:paraId="31E12005" w14:textId="77777777" w:rsidR="005A7DC4" w:rsidRPr="005A7DC4" w:rsidRDefault="005A7DC4" w:rsidP="005A7DC4">
      <w:pPr>
        <w:autoSpaceDE w:val="0"/>
        <w:autoSpaceDN w:val="0"/>
        <w:adjustRightInd w:val="0"/>
      </w:pPr>
      <w:r w:rsidRPr="005A7DC4">
        <w:t>Bilancio. Distinguere l’</w:t>
      </w:r>
      <w:proofErr w:type="spellStart"/>
      <w:r w:rsidRPr="005A7DC4">
        <w:rPr>
          <w:i/>
        </w:rPr>
        <w:t>intentio</w:t>
      </w:r>
      <w:proofErr w:type="spellEnd"/>
      <w:r w:rsidRPr="005A7DC4">
        <w:t xml:space="preserve"> dal </w:t>
      </w:r>
      <w:r w:rsidRPr="005A7DC4">
        <w:rPr>
          <w:i/>
        </w:rPr>
        <w:t>metodo</w:t>
      </w:r>
      <w:r w:rsidRPr="005A7DC4">
        <w:t xml:space="preserve"> dell’esegesi patristica.</w:t>
      </w:r>
    </w:p>
    <w:p w14:paraId="24963A42" w14:textId="13AD69D2" w:rsidR="005A7DC4" w:rsidRDefault="005A7DC4" w:rsidP="005A7DC4">
      <w:pPr>
        <w:numPr>
          <w:ilvl w:val="0"/>
          <w:numId w:val="5"/>
        </w:numPr>
        <w:autoSpaceDE w:val="0"/>
        <w:autoSpaceDN w:val="0"/>
        <w:adjustRightInd w:val="0"/>
        <w:ind w:left="284" w:firstLine="0"/>
        <w:contextualSpacing/>
      </w:pPr>
      <w:r w:rsidRPr="005A7DC4">
        <w:rPr>
          <w:i/>
        </w:rPr>
        <w:t>L’</w:t>
      </w:r>
      <w:proofErr w:type="spellStart"/>
      <w:r w:rsidRPr="005A7DC4">
        <w:rPr>
          <w:i/>
        </w:rPr>
        <w:t>intentio</w:t>
      </w:r>
      <w:proofErr w:type="spellEnd"/>
      <w:r w:rsidRPr="005A7DC4">
        <w:t xml:space="preserve"> nasce da due problematiche 1) rapporto AT con Cristo 2) la ragione di fatti inverosimili. Da qui una “comprensione che sia secondo la </w:t>
      </w:r>
      <w:proofErr w:type="spellStart"/>
      <w:r w:rsidRPr="005A7DC4">
        <w:rPr>
          <w:i/>
        </w:rPr>
        <w:t>regula</w:t>
      </w:r>
      <w:proofErr w:type="spellEnd"/>
      <w:r w:rsidRPr="005A7DC4">
        <w:rPr>
          <w:i/>
        </w:rPr>
        <w:t xml:space="preserve"> – il </w:t>
      </w:r>
      <w:proofErr w:type="spellStart"/>
      <w:r w:rsidRPr="005A7DC4">
        <w:rPr>
          <w:i/>
        </w:rPr>
        <w:t>kanon</w:t>
      </w:r>
      <w:proofErr w:type="spellEnd"/>
      <w:r w:rsidRPr="005A7DC4">
        <w:t xml:space="preserve"> della Chiesa celeste di Gesù Cristo trasmessa dagli apostoli”. A suo modo viene affermato quel principio “extra-testuale” dell’esegesi. Questo permette di essere liberi dalla preoccupazione di dover giustificare l’inverosimile, ciò che invece condizionerà tragicamente l’esegesi neoscolastica, condizionata da un’ottusa ap</w:t>
      </w:r>
      <w:r>
        <w:t xml:space="preserve">ologetica cfr. </w:t>
      </w:r>
      <w:proofErr w:type="spellStart"/>
      <w:r>
        <w:t>Glaire</w:t>
      </w:r>
      <w:proofErr w:type="spellEnd"/>
      <w:r>
        <w:t xml:space="preserve">, </w:t>
      </w:r>
    </w:p>
    <w:p w14:paraId="36E428E8" w14:textId="02DE2EC2" w:rsidR="005A7DC4" w:rsidRDefault="005A7DC4" w:rsidP="00D41649">
      <w:r>
        <w:rPr>
          <w:noProof/>
          <w:lang w:eastAsia="it-IT"/>
        </w:rPr>
        <w:lastRenderedPageBreak/>
        <w:drawing>
          <wp:inline distT="0" distB="0" distL="0" distR="0" wp14:anchorId="0DD5A7F0" wp14:editId="58984853">
            <wp:extent cx="4449445" cy="6120130"/>
            <wp:effectExtent l="2858"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laire giona.jpeg"/>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4449445" cy="6120130"/>
                    </a:xfrm>
                    <a:prstGeom prst="rect">
                      <a:avLst/>
                    </a:prstGeom>
                  </pic:spPr>
                </pic:pic>
              </a:graphicData>
            </a:graphic>
          </wp:inline>
        </w:drawing>
      </w:r>
      <w:r w:rsidRPr="005A7DC4">
        <w:rPr>
          <w:i/>
        </w:rPr>
        <w:t>Il metodo</w:t>
      </w:r>
      <w:r w:rsidRPr="005A7DC4">
        <w:t xml:space="preserve">, mutuato dalla cultura del tempo, risente di quelle che oggi possiamo valutare come carenze di comprensione del linguaggio. Evidentemente pretenderle per gli autori del tempo sarebbe un anacronismo, ma non lo è riconoscerle oggi per prenderne le distanze oggi e proporre un’esegesi più accorta. Manca, ad es., la conoscenza dei generi letterari. Ciò comporta il limitare la </w:t>
      </w:r>
      <w:proofErr w:type="spellStart"/>
      <w:r w:rsidRPr="005A7DC4">
        <w:rPr>
          <w:i/>
        </w:rPr>
        <w:t>sarx</w:t>
      </w:r>
      <w:proofErr w:type="spellEnd"/>
      <w:r w:rsidRPr="005A7DC4">
        <w:t xml:space="preserve"> della Scrittura alla sua semplice materialità (il </w:t>
      </w:r>
      <w:proofErr w:type="spellStart"/>
      <w:r w:rsidRPr="005A7DC4">
        <w:rPr>
          <w:i/>
        </w:rPr>
        <w:t>sensus</w:t>
      </w:r>
      <w:proofErr w:type="spellEnd"/>
      <w:r w:rsidRPr="005A7DC4">
        <w:rPr>
          <w:i/>
        </w:rPr>
        <w:t xml:space="preserve"> </w:t>
      </w:r>
      <w:proofErr w:type="spellStart"/>
      <w:r w:rsidRPr="005A7DC4">
        <w:rPr>
          <w:i/>
        </w:rPr>
        <w:t>grammaticus</w:t>
      </w:r>
      <w:proofErr w:type="spellEnd"/>
      <w:r w:rsidRPr="005A7DC4">
        <w:t xml:space="preserve">, quello che risulta dalla grammatica), mentre la realtà di fede viene immessa nel testo dall’esterno, da una </w:t>
      </w:r>
      <w:proofErr w:type="spellStart"/>
      <w:r w:rsidRPr="005A7DC4">
        <w:rPr>
          <w:i/>
        </w:rPr>
        <w:t>regula</w:t>
      </w:r>
      <w:proofErr w:type="spellEnd"/>
      <w:r w:rsidRPr="005A7DC4">
        <w:rPr>
          <w:i/>
        </w:rPr>
        <w:t xml:space="preserve"> </w:t>
      </w:r>
      <w:proofErr w:type="spellStart"/>
      <w:r w:rsidRPr="005A7DC4">
        <w:rPr>
          <w:i/>
        </w:rPr>
        <w:t>fidei</w:t>
      </w:r>
      <w:proofErr w:type="spellEnd"/>
      <w:r w:rsidRPr="005A7DC4">
        <w:t xml:space="preserve"> che fa astrazione del testo nella sua concretezza. Cosicché l’allegoria, pur non essendo in linea di principio un metodo per far voli di fantasia, può incorrere in questo rischio. Ad es. </w:t>
      </w:r>
    </w:p>
    <w:p w14:paraId="6A021D80" w14:textId="77777777" w:rsidR="00B24AA0" w:rsidRPr="005A7DC4" w:rsidRDefault="005B5158" w:rsidP="00B24AA0">
      <w:pPr>
        <w:autoSpaceDE w:val="0"/>
        <w:autoSpaceDN w:val="0"/>
        <w:adjustRightInd w:val="0"/>
        <w:contextualSpacing/>
      </w:pPr>
      <w:r>
        <w:rPr>
          <w:noProof/>
          <w:lang w:eastAsia="it-IT"/>
        </w:rPr>
        <w:drawing>
          <wp:inline distT="0" distB="0" distL="0" distR="0" wp14:anchorId="651B8373" wp14:editId="6B8EB0CF">
            <wp:extent cx="6120130" cy="2240915"/>
            <wp:effectExtent l="0" t="0" r="0" b="698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rigene Luca 2.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2240915"/>
                    </a:xfrm>
                    <a:prstGeom prst="rect">
                      <a:avLst/>
                    </a:prstGeom>
                  </pic:spPr>
                </pic:pic>
              </a:graphicData>
            </a:graphic>
          </wp:inline>
        </w:drawing>
      </w:r>
    </w:p>
    <w:p w14:paraId="6E32B3CE" w14:textId="77777777" w:rsidR="00320E38" w:rsidRDefault="005A7DC4" w:rsidP="005A7DC4">
      <w:r w:rsidRPr="005A7DC4">
        <w:t xml:space="preserve">Di fatto ciò che è stato influente nell’esegesi medievale è la tripartizione dei sensi di Origene e Nicola di Lira 1330 dalla distinzione fondamentale lettera / Spirito individua la seguente scansione </w:t>
      </w:r>
      <w:r w:rsidRPr="005A7DC4">
        <w:rPr>
          <w:i/>
        </w:rPr>
        <w:t xml:space="preserve">Littera gesta </w:t>
      </w:r>
      <w:proofErr w:type="spellStart"/>
      <w:r w:rsidRPr="005A7DC4">
        <w:rPr>
          <w:i/>
        </w:rPr>
        <w:t>docet</w:t>
      </w:r>
      <w:proofErr w:type="spellEnd"/>
      <w:r w:rsidRPr="005A7DC4">
        <w:rPr>
          <w:i/>
        </w:rPr>
        <w:t xml:space="preserve"> / quid </w:t>
      </w:r>
      <w:proofErr w:type="spellStart"/>
      <w:r w:rsidRPr="005A7DC4">
        <w:rPr>
          <w:i/>
        </w:rPr>
        <w:t>credas</w:t>
      </w:r>
      <w:proofErr w:type="spellEnd"/>
      <w:r w:rsidRPr="005A7DC4">
        <w:rPr>
          <w:i/>
        </w:rPr>
        <w:t xml:space="preserve"> allegoria / </w:t>
      </w:r>
      <w:proofErr w:type="spellStart"/>
      <w:r w:rsidRPr="005A7DC4">
        <w:rPr>
          <w:i/>
        </w:rPr>
        <w:t>moralis</w:t>
      </w:r>
      <w:proofErr w:type="spellEnd"/>
      <w:r w:rsidRPr="005A7DC4">
        <w:rPr>
          <w:i/>
        </w:rPr>
        <w:t xml:space="preserve"> quid </w:t>
      </w:r>
      <w:proofErr w:type="spellStart"/>
      <w:r w:rsidRPr="005A7DC4">
        <w:rPr>
          <w:i/>
        </w:rPr>
        <w:t>agas</w:t>
      </w:r>
      <w:proofErr w:type="spellEnd"/>
      <w:r w:rsidRPr="005A7DC4">
        <w:rPr>
          <w:i/>
        </w:rPr>
        <w:t xml:space="preserve"> / quo </w:t>
      </w:r>
      <w:proofErr w:type="spellStart"/>
      <w:r w:rsidRPr="005A7DC4">
        <w:rPr>
          <w:i/>
        </w:rPr>
        <w:t>tendas</w:t>
      </w:r>
      <w:proofErr w:type="spellEnd"/>
      <w:r w:rsidRPr="005A7DC4">
        <w:rPr>
          <w:i/>
        </w:rPr>
        <w:t xml:space="preserve"> anagogia</w:t>
      </w:r>
      <w:r w:rsidRPr="005A7DC4">
        <w:t>. Chiaro che qui “</w:t>
      </w:r>
      <w:proofErr w:type="spellStart"/>
      <w:r w:rsidRPr="005A7DC4">
        <w:t>littera</w:t>
      </w:r>
      <w:proofErr w:type="spellEnd"/>
      <w:r w:rsidRPr="005A7DC4">
        <w:t>” è la mera materialità. Necessario studio linguaggio.</w:t>
      </w:r>
    </w:p>
    <w:p w14:paraId="2A28CCCA" w14:textId="77777777" w:rsidR="00320E38" w:rsidRDefault="00320E38" w:rsidP="00320E38">
      <w:r>
        <w:br w:type="page"/>
      </w:r>
    </w:p>
    <w:p w14:paraId="7A452B09" w14:textId="77777777" w:rsidR="005A7DC4" w:rsidRPr="005A7DC4" w:rsidRDefault="005A7DC4" w:rsidP="005A7DC4">
      <w:pPr>
        <w:spacing w:before="60" w:after="60"/>
        <w:outlineLvl w:val="2"/>
      </w:pPr>
      <w:r w:rsidRPr="005A7DC4">
        <w:lastRenderedPageBreak/>
        <w:t>AUTORI MODERNI: SCHLEIERMACHER</w:t>
      </w:r>
    </w:p>
    <w:p w14:paraId="4A90E750" w14:textId="77777777" w:rsidR="00B24AA0" w:rsidRDefault="005A7DC4" w:rsidP="00B24AA0">
      <w:pPr>
        <w:pStyle w:val="Paragrafoelenco"/>
        <w:numPr>
          <w:ilvl w:val="0"/>
          <w:numId w:val="8"/>
        </w:numPr>
        <w:autoSpaceDE w:val="0"/>
        <w:autoSpaceDN w:val="0"/>
        <w:adjustRightInd w:val="0"/>
        <w:ind w:left="357" w:hanging="357"/>
      </w:pPr>
      <w:r w:rsidRPr="005A7DC4">
        <w:t>E</w:t>
      </w:r>
      <w:r w:rsidR="00B24AA0">
        <w:t>rmeneutica</w:t>
      </w:r>
      <w:r w:rsidRPr="005A7DC4">
        <w:t xml:space="preserve"> no solo esercizio su passi oscuri, ma capire la totalità del discorso, a partire dalle motivazioni psicologiche del suo autore</w:t>
      </w:r>
      <w:r w:rsidR="00B24AA0">
        <w:t>:</w:t>
      </w:r>
      <w:r w:rsidRPr="005A7DC4">
        <w:t xml:space="preserve"> “capire il discorso altrettanto bene e meglio di quanto non lo capisse l’autore stesso”. </w:t>
      </w:r>
    </w:p>
    <w:p w14:paraId="3406C965" w14:textId="20B46DCB" w:rsidR="00B24AA0" w:rsidRPr="005A7DC4" w:rsidRDefault="00B24AA0" w:rsidP="00B24AA0">
      <w:pPr>
        <w:pStyle w:val="Paragrafoelenco"/>
        <w:numPr>
          <w:ilvl w:val="0"/>
          <w:numId w:val="8"/>
        </w:numPr>
        <w:autoSpaceDE w:val="0"/>
        <w:autoSpaceDN w:val="0"/>
        <w:adjustRightInd w:val="0"/>
        <w:ind w:left="357" w:hanging="357"/>
      </w:pPr>
      <w:r w:rsidRPr="005A7DC4">
        <w:t>l’ermeneutica teologica è vista come applicazione regionale di una teoria ermeneutica generale. Anche la religiosità è esperienza, di un senso di dipendenza da Dio che è proprio di tutte le religioni, e che vede il cristianesimo come espressione più alta</w:t>
      </w:r>
    </w:p>
    <w:p w14:paraId="0368FFA9" w14:textId="77777777" w:rsidR="005A7DC4" w:rsidRPr="005A7DC4" w:rsidRDefault="005A7DC4" w:rsidP="005A7DC4">
      <w:pPr>
        <w:spacing w:before="60" w:after="60"/>
        <w:outlineLvl w:val="2"/>
      </w:pPr>
      <w:r w:rsidRPr="005A7DC4">
        <w:t>AUTORI MODERNI: LA FILOSOFIA DELLA STORIA DI AUGUST COMTE</w:t>
      </w:r>
    </w:p>
    <w:p w14:paraId="6E24B34F" w14:textId="77777777" w:rsidR="005A7DC4" w:rsidRPr="005A7DC4" w:rsidRDefault="005A7DC4" w:rsidP="005A7DC4">
      <w:pPr>
        <w:autoSpaceDE w:val="0"/>
        <w:autoSpaceDN w:val="0"/>
        <w:adjustRightInd w:val="0"/>
      </w:pPr>
      <w:r w:rsidRPr="005A7DC4">
        <w:t xml:space="preserve">Le scienze della natura non spiegano metafisicamente il perché di un fenomeno, ma il come si evincono le leggi del suo funzionamento e prevederlo. La scienza diviene il modello conclusivo della verità, non si pone il problema del soggetto conoscente e dà per scontata la validità della logica formale. </w:t>
      </w:r>
    </w:p>
    <w:p w14:paraId="10FFD164" w14:textId="77777777" w:rsidR="005A7DC4" w:rsidRPr="005A7DC4" w:rsidRDefault="005A7DC4" w:rsidP="005A7DC4">
      <w:pPr>
        <w:spacing w:before="60" w:after="60"/>
        <w:outlineLvl w:val="2"/>
      </w:pPr>
      <w:r w:rsidRPr="005A7DC4">
        <w:t>AUTORI MODERNI: DILTHEY</w:t>
      </w:r>
    </w:p>
    <w:p w14:paraId="4110AE30" w14:textId="73FFE4FE" w:rsidR="00B24AA0" w:rsidRDefault="005A7DC4" w:rsidP="00B24AA0">
      <w:pPr>
        <w:pStyle w:val="Paragrafoelenco"/>
        <w:numPr>
          <w:ilvl w:val="0"/>
          <w:numId w:val="9"/>
        </w:numPr>
        <w:autoSpaceDE w:val="0"/>
        <w:autoSpaceDN w:val="0"/>
        <w:adjustRightInd w:val="0"/>
        <w:ind w:left="357" w:hanging="357"/>
      </w:pPr>
      <w:r w:rsidRPr="005A7DC4">
        <w:t xml:space="preserve">Distingue: </w:t>
      </w:r>
      <w:r w:rsidRPr="00B24AA0">
        <w:rPr>
          <w:i/>
        </w:rPr>
        <w:t>scienze della natura</w:t>
      </w:r>
      <w:r w:rsidRPr="005A7DC4">
        <w:t xml:space="preserve"> in cui l’oggetto di studio è esterno al soggetto, avviene per via di osservazione cerca le cause dell’oggetto e non lo modifica</w:t>
      </w:r>
      <w:r w:rsidR="00AE70EC">
        <w:t>,</w:t>
      </w:r>
      <w:r w:rsidRPr="005A7DC4">
        <w:t xml:space="preserve"> e </w:t>
      </w:r>
      <w:r w:rsidRPr="00B24AA0">
        <w:rPr>
          <w:i/>
        </w:rPr>
        <w:t>scienze dello spirito</w:t>
      </w:r>
      <w:r w:rsidRPr="005A7DC4">
        <w:t xml:space="preserve"> in cui il soggetto è parte dell’oggetto di studio, avviene per via di esperienza vissuta (</w:t>
      </w:r>
      <w:r w:rsidRPr="00B24AA0">
        <w:rPr>
          <w:i/>
        </w:rPr>
        <w:t>Erlebnis</w:t>
      </w:r>
      <w:r w:rsidRPr="005A7DC4">
        <w:t xml:space="preserve">) cerca valori, fini, significati e alla fine trasforma l’oggetto studiato. </w:t>
      </w:r>
    </w:p>
    <w:p w14:paraId="37F73E81" w14:textId="3EFE79D0" w:rsidR="005A7DC4" w:rsidRPr="005A7DC4" w:rsidRDefault="00B24AA0" w:rsidP="00B24AA0">
      <w:pPr>
        <w:pStyle w:val="Paragrafoelenco"/>
        <w:numPr>
          <w:ilvl w:val="0"/>
          <w:numId w:val="9"/>
        </w:numPr>
        <w:autoSpaceDE w:val="0"/>
        <w:autoSpaceDN w:val="0"/>
        <w:adjustRightInd w:val="0"/>
        <w:ind w:left="357" w:hanging="357"/>
      </w:pPr>
      <w:r>
        <w:t>P</w:t>
      </w:r>
      <w:r w:rsidR="005A7DC4" w:rsidRPr="005A7DC4">
        <w:t xml:space="preserve">olemizza con il positivismo </w:t>
      </w:r>
      <w:r>
        <w:t>ma</w:t>
      </w:r>
      <w:r w:rsidR="005A7DC4" w:rsidRPr="005A7DC4">
        <w:t xml:space="preserve"> ne assume un presupposto: l’oggetto dello studio ne determina la sua “scienza</w:t>
      </w:r>
      <w:r w:rsidR="00AE70EC">
        <w:t>”</w:t>
      </w:r>
    </w:p>
    <w:p w14:paraId="2325B740" w14:textId="77777777" w:rsidR="005A7DC4" w:rsidRPr="005A7DC4" w:rsidRDefault="005A7DC4" w:rsidP="005A7DC4">
      <w:pPr>
        <w:spacing w:before="60" w:after="60"/>
        <w:outlineLvl w:val="2"/>
      </w:pPr>
      <w:r w:rsidRPr="005A7DC4">
        <w:t>AUTORI MODERNI: HEIDEGGER (il primo)</w:t>
      </w:r>
    </w:p>
    <w:p w14:paraId="78F3EAAA" w14:textId="77777777" w:rsidR="005A7DC4" w:rsidRPr="005A7DC4" w:rsidRDefault="005A7DC4" w:rsidP="00B24AA0">
      <w:pPr>
        <w:pStyle w:val="Paragrafoelenco"/>
        <w:numPr>
          <w:ilvl w:val="0"/>
          <w:numId w:val="10"/>
        </w:numPr>
        <w:autoSpaceDE w:val="0"/>
        <w:autoSpaceDN w:val="0"/>
        <w:adjustRightInd w:val="0"/>
        <w:ind w:left="357" w:hanging="357"/>
      </w:pPr>
      <w:r w:rsidRPr="005A7DC4">
        <w:t xml:space="preserve">Il soggetto è un essere-nel-mondo, un </w:t>
      </w:r>
      <w:proofErr w:type="spellStart"/>
      <w:r w:rsidRPr="00B24AA0">
        <w:rPr>
          <w:i/>
        </w:rPr>
        <w:t>Desein</w:t>
      </w:r>
      <w:proofErr w:type="spellEnd"/>
      <w:r w:rsidRPr="005A7DC4">
        <w:t xml:space="preserve"> (esserci) la cui appartenenza al mondo è una dimensione costitutiva (</w:t>
      </w:r>
      <w:r w:rsidRPr="00B24AA0">
        <w:rPr>
          <w:i/>
        </w:rPr>
        <w:t xml:space="preserve">vs </w:t>
      </w:r>
      <w:r w:rsidRPr="005A7DC4">
        <w:t>l’io astratto cartesiano). Allo stesso tempo è l’unico che si pone la questione dell’Essere-in-sé, non attraverso una riduzione eidetica (</w:t>
      </w:r>
      <w:r w:rsidRPr="00B24AA0">
        <w:rPr>
          <w:i/>
        </w:rPr>
        <w:t xml:space="preserve">vs </w:t>
      </w:r>
      <w:r w:rsidRPr="005A7DC4">
        <w:t>Husserl, il processo che dalla cosa sensibile giunge al concetto astratto), bensì ripercorrendo criticamente i lasciti della tradizione. La filosofia così si configura come ermeneutica dell’effettività, in cui la tradizione viene de-costruita non per essere negata, ma per permetterne un’appropriazione critica. E poiché il soggetto è radicato nella tradizione compie tale processo a partire comunque dai presupposti fornitigli dalla stessa: circolo ermeneutico. L’ermeneutica non è solo esercizio delle scienze dello spirito (</w:t>
      </w:r>
      <w:r w:rsidRPr="00B24AA0">
        <w:rPr>
          <w:i/>
        </w:rPr>
        <w:t>vs</w:t>
      </w:r>
      <w:r w:rsidRPr="005A7DC4">
        <w:t xml:space="preserve"> Dilthey) ma una dimensione implicata nella vita stesse e nella sua globalità. Ma la comprensione dell’essere è, alla fine, compito di un’analisi filosofica che si estranea dal mondo della vita.</w:t>
      </w:r>
    </w:p>
    <w:p w14:paraId="407E627C" w14:textId="77777777" w:rsidR="005A7DC4" w:rsidRPr="005A7DC4" w:rsidRDefault="005A7DC4" w:rsidP="005A7DC4">
      <w:pPr>
        <w:spacing w:before="60" w:after="60"/>
        <w:outlineLvl w:val="2"/>
      </w:pPr>
      <w:r w:rsidRPr="005A7DC4">
        <w:t>AUTORI MODERNI GADAMER</w:t>
      </w:r>
    </w:p>
    <w:p w14:paraId="4B950A16" w14:textId="20AEFF6F" w:rsidR="005A7DC4" w:rsidRPr="005A7DC4" w:rsidRDefault="005B5158" w:rsidP="005B5158">
      <w:pPr>
        <w:pStyle w:val="Paragrafoelenco"/>
        <w:numPr>
          <w:ilvl w:val="0"/>
          <w:numId w:val="10"/>
        </w:numPr>
        <w:autoSpaceDE w:val="0"/>
        <w:autoSpaceDN w:val="0"/>
        <w:adjustRightInd w:val="0"/>
        <w:ind w:left="357" w:hanging="357"/>
      </w:pPr>
      <w:r>
        <w:t xml:space="preserve">Critica alla </w:t>
      </w:r>
      <w:proofErr w:type="spellStart"/>
      <w:r w:rsidR="005A7DC4" w:rsidRPr="005B5158">
        <w:rPr>
          <w:i/>
        </w:rPr>
        <w:t>Destruktion</w:t>
      </w:r>
      <w:proofErr w:type="spellEnd"/>
      <w:r>
        <w:t xml:space="preserve"> di Heidegger s</w:t>
      </w:r>
      <w:r w:rsidR="005A7DC4" w:rsidRPr="005A7DC4">
        <w:t>i rende pertanto necessario rompere l’isolamento in cui la filosofia è stata condotta, da qui ricostruire i ponti tra filosofia – arte – storia, forme di espe</w:t>
      </w:r>
      <w:r w:rsidR="00AE70EC">
        <w:t>r</w:t>
      </w:r>
      <w:r w:rsidR="005A7DC4" w:rsidRPr="005A7DC4">
        <w:t xml:space="preserve">ienza la cui verità non è verificata con i mezzi della scienza. </w:t>
      </w:r>
      <w:proofErr w:type="spellStart"/>
      <w:r w:rsidR="005A7DC4" w:rsidRPr="005B5158">
        <w:rPr>
          <w:i/>
        </w:rPr>
        <w:t>Wirkungsgeschichte</w:t>
      </w:r>
      <w:proofErr w:type="spellEnd"/>
      <w:r w:rsidR="005A7DC4" w:rsidRPr="005A7DC4">
        <w:t xml:space="preserve"> che orienta anticipatamente la comprensione dell’opera. Pregiudizio come linee orientative.</w:t>
      </w:r>
    </w:p>
    <w:p w14:paraId="2FB0BC12" w14:textId="77777777" w:rsidR="005A7DC4" w:rsidRPr="005A7DC4" w:rsidRDefault="005A7DC4" w:rsidP="005B5158">
      <w:pPr>
        <w:pStyle w:val="Paragrafoelenco"/>
        <w:numPr>
          <w:ilvl w:val="0"/>
          <w:numId w:val="10"/>
        </w:numPr>
        <w:ind w:left="357" w:hanging="357"/>
      </w:pPr>
      <w:r w:rsidRPr="005A7DC4">
        <w:t xml:space="preserve">La distanza temporale non è ostacolo, bensì premessa alla comprensione. </w:t>
      </w:r>
      <w:r w:rsidRPr="005B5158">
        <w:rPr>
          <w:rFonts w:eastAsia="Times New Roman" w:cs="Times New Roman"/>
          <w:szCs w:val="24"/>
          <w:lang w:eastAsia="it-IT"/>
        </w:rPr>
        <w:t>“Nello scritto si afferma il distacco del linguaggio dal suo effettivo esser parlato. Nella forma dello scritto, tutto ciò che è tramandato è contempora</w:t>
      </w:r>
      <w:r w:rsidR="005B5158">
        <w:rPr>
          <w:rFonts w:eastAsia="Times New Roman" w:cs="Times New Roman"/>
          <w:szCs w:val="24"/>
          <w:lang w:eastAsia="it-IT"/>
        </w:rPr>
        <w:t>neo di qualunque presente”</w:t>
      </w:r>
      <w:r w:rsidRPr="005B5158">
        <w:rPr>
          <w:rFonts w:eastAsia="Times New Roman" w:cs="Times New Roman"/>
          <w:szCs w:val="24"/>
          <w:lang w:eastAsia="it-IT"/>
        </w:rPr>
        <w:t xml:space="preserve">. Una volta scritto, un testo diviene indipendente dal suo autore </w:t>
      </w:r>
      <w:r w:rsidRPr="005B5158">
        <w:rPr>
          <w:rFonts w:eastAsia="Times New Roman" w:cs="Times New Roman"/>
          <w:i/>
          <w:szCs w:val="24"/>
          <w:lang w:eastAsia="it-IT"/>
        </w:rPr>
        <w:t>(</w:t>
      </w:r>
      <w:proofErr w:type="spellStart"/>
      <w:r w:rsidRPr="005B5158">
        <w:rPr>
          <w:rFonts w:eastAsia="Times New Roman" w:cs="Times New Roman"/>
          <w:i/>
          <w:szCs w:val="24"/>
          <w:lang w:eastAsia="it-IT"/>
        </w:rPr>
        <w:t>Verfremdung</w:t>
      </w:r>
      <w:proofErr w:type="spellEnd"/>
      <w:r w:rsidRPr="005B5158">
        <w:rPr>
          <w:rFonts w:eastAsia="Times New Roman" w:cs="Times New Roman"/>
          <w:szCs w:val="24"/>
          <w:lang w:eastAsia="it-IT"/>
        </w:rPr>
        <w:t xml:space="preserve">, alienazione) e si propone come veicolo singolare e autonomo di referenza al suo “mondo” (la “cosa” del testo). Al contempo, un lettore si approccia al testo con il suo mondo: </w:t>
      </w:r>
      <w:r w:rsidR="005B5158">
        <w:rPr>
          <w:rFonts w:eastAsia="Times New Roman" w:cs="Times New Roman"/>
          <w:szCs w:val="24"/>
          <w:lang w:eastAsia="it-IT"/>
        </w:rPr>
        <w:t>n</w:t>
      </w:r>
      <w:r w:rsidRPr="005B5158">
        <w:rPr>
          <w:rFonts w:eastAsia="Times New Roman" w:cs="Times New Roman"/>
          <w:szCs w:val="24"/>
          <w:lang w:eastAsia="it-IT"/>
        </w:rPr>
        <w:t xml:space="preserve">ell’interpretazione si attua l’intersezione, una </w:t>
      </w:r>
      <w:r w:rsidRPr="005B5158">
        <w:rPr>
          <w:rFonts w:eastAsia="Times New Roman" w:cs="Times New Roman"/>
          <w:i/>
          <w:szCs w:val="24"/>
          <w:lang w:eastAsia="it-IT"/>
        </w:rPr>
        <w:t>fusione di orizzonti</w:t>
      </w:r>
      <w:r w:rsidRPr="005B5158">
        <w:rPr>
          <w:rFonts w:eastAsia="Times New Roman" w:cs="Times New Roman"/>
          <w:szCs w:val="24"/>
          <w:lang w:eastAsia="it-IT"/>
        </w:rPr>
        <w:t xml:space="preserve"> tra mondo del testo e mondo dell’ascoltatore/lettore. </w:t>
      </w:r>
    </w:p>
    <w:p w14:paraId="2A2BBC5B" w14:textId="77777777" w:rsidR="00C4647A" w:rsidRDefault="00C4647A" w:rsidP="00C4647A"/>
    <w:sectPr w:rsidR="00C4647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13D3B"/>
    <w:multiLevelType w:val="hybridMultilevel"/>
    <w:tmpl w:val="8E92E060"/>
    <w:lvl w:ilvl="0" w:tplc="80629376">
      <w:start w:val="1"/>
      <w:numFmt w:val="bullet"/>
      <w:lvlText w:val=""/>
      <w:lvlJc w:val="left"/>
      <w:pPr>
        <w:ind w:left="1004" w:hanging="360"/>
      </w:pPr>
      <w:rPr>
        <w:rFonts w:ascii="Wingdings" w:eastAsiaTheme="minorHAnsi" w:hAnsi="Wingdings"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 w15:restartNumberingAfterBreak="0">
    <w:nsid w:val="149F57BF"/>
    <w:multiLevelType w:val="hybridMultilevel"/>
    <w:tmpl w:val="961ADFC8"/>
    <w:lvl w:ilvl="0" w:tplc="80629376">
      <w:start w:val="1"/>
      <w:numFmt w:val="bullet"/>
      <w:lvlText w:val=""/>
      <w:lvlJc w:val="left"/>
      <w:pPr>
        <w:ind w:left="928" w:hanging="360"/>
      </w:pPr>
      <w:rPr>
        <w:rFonts w:ascii="Wingdings" w:eastAsiaTheme="minorHAnsi" w:hAnsi="Wingdings" w:cs="Times New Roman" w:hint="default"/>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2" w15:restartNumberingAfterBreak="0">
    <w:nsid w:val="187D35A0"/>
    <w:multiLevelType w:val="hybridMultilevel"/>
    <w:tmpl w:val="EB1EA398"/>
    <w:lvl w:ilvl="0" w:tplc="80629376">
      <w:start w:val="1"/>
      <w:numFmt w:val="bullet"/>
      <w:lvlText w:val=""/>
      <w:lvlJc w:val="left"/>
      <w:pPr>
        <w:ind w:left="1070" w:hanging="360"/>
      </w:pPr>
      <w:rPr>
        <w:rFonts w:ascii="Wingdings" w:eastAsiaTheme="minorHAnsi"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D173A59"/>
    <w:multiLevelType w:val="hybridMultilevel"/>
    <w:tmpl w:val="AEC8B954"/>
    <w:lvl w:ilvl="0" w:tplc="80629376">
      <w:start w:val="1"/>
      <w:numFmt w:val="bullet"/>
      <w:lvlText w:val=""/>
      <w:lvlJc w:val="left"/>
      <w:pPr>
        <w:ind w:left="1004" w:hanging="360"/>
      </w:pPr>
      <w:rPr>
        <w:rFonts w:ascii="Wingdings" w:eastAsiaTheme="minorHAnsi" w:hAnsi="Wingdings"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15:restartNumberingAfterBreak="0">
    <w:nsid w:val="23982C87"/>
    <w:multiLevelType w:val="hybridMultilevel"/>
    <w:tmpl w:val="E856A824"/>
    <w:lvl w:ilvl="0" w:tplc="80629376">
      <w:start w:val="1"/>
      <w:numFmt w:val="bullet"/>
      <w:lvlText w:val=""/>
      <w:lvlJc w:val="left"/>
      <w:pPr>
        <w:ind w:left="1004" w:hanging="360"/>
      </w:pPr>
      <w:rPr>
        <w:rFonts w:ascii="Wingdings" w:eastAsiaTheme="minorHAnsi" w:hAnsi="Wingdings"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15:restartNumberingAfterBreak="0">
    <w:nsid w:val="26302D66"/>
    <w:multiLevelType w:val="hybridMultilevel"/>
    <w:tmpl w:val="D5BC15E6"/>
    <w:lvl w:ilvl="0" w:tplc="5C72D780">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40443BC7"/>
    <w:multiLevelType w:val="hybridMultilevel"/>
    <w:tmpl w:val="8DEE72B8"/>
    <w:lvl w:ilvl="0" w:tplc="63947F78">
      <w:numFmt w:val="bullet"/>
      <w:lvlText w:val=""/>
      <w:lvlJc w:val="left"/>
      <w:pPr>
        <w:ind w:left="644" w:hanging="360"/>
      </w:pPr>
      <w:rPr>
        <w:rFonts w:ascii="Wingdings" w:eastAsiaTheme="minorHAnsi" w:hAnsi="Wingdings" w:cstheme="minorBid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558400E0"/>
    <w:multiLevelType w:val="hybridMultilevel"/>
    <w:tmpl w:val="95C2B120"/>
    <w:lvl w:ilvl="0" w:tplc="80629376">
      <w:start w:val="1"/>
      <w:numFmt w:val="bullet"/>
      <w:lvlText w:val=""/>
      <w:lvlJc w:val="left"/>
      <w:pPr>
        <w:ind w:left="1212" w:hanging="360"/>
      </w:pPr>
      <w:rPr>
        <w:rFonts w:ascii="Wingdings" w:eastAsiaTheme="minorHAnsi" w:hAnsi="Wingdings"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8" w15:restartNumberingAfterBreak="0">
    <w:nsid w:val="62657943"/>
    <w:multiLevelType w:val="hybridMultilevel"/>
    <w:tmpl w:val="B9C2E04C"/>
    <w:lvl w:ilvl="0" w:tplc="80629376">
      <w:start w:val="1"/>
      <w:numFmt w:val="bullet"/>
      <w:lvlText w:val=""/>
      <w:lvlJc w:val="left"/>
      <w:pPr>
        <w:ind w:left="1004" w:hanging="360"/>
      </w:pPr>
      <w:rPr>
        <w:rFonts w:ascii="Wingdings" w:eastAsiaTheme="minorHAnsi" w:hAnsi="Wingdings"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7565631D"/>
    <w:multiLevelType w:val="hybridMultilevel"/>
    <w:tmpl w:val="F432E6D2"/>
    <w:lvl w:ilvl="0" w:tplc="80629376">
      <w:start w:val="1"/>
      <w:numFmt w:val="bullet"/>
      <w:lvlText w:val=""/>
      <w:lvlJc w:val="left"/>
      <w:pPr>
        <w:ind w:left="1004" w:hanging="360"/>
      </w:pPr>
      <w:rPr>
        <w:rFonts w:ascii="Wingdings" w:eastAsiaTheme="minorHAnsi" w:hAnsi="Wingdings"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16cid:durableId="1499887738">
    <w:abstractNumId w:val="1"/>
  </w:num>
  <w:num w:numId="2" w16cid:durableId="71051154">
    <w:abstractNumId w:val="7"/>
  </w:num>
  <w:num w:numId="3" w16cid:durableId="288174325">
    <w:abstractNumId w:val="2"/>
  </w:num>
  <w:num w:numId="4" w16cid:durableId="127091307">
    <w:abstractNumId w:val="5"/>
  </w:num>
  <w:num w:numId="5" w16cid:durableId="1349986566">
    <w:abstractNumId w:val="6"/>
  </w:num>
  <w:num w:numId="6" w16cid:durableId="1940945122">
    <w:abstractNumId w:val="8"/>
  </w:num>
  <w:num w:numId="7" w16cid:durableId="2133210549">
    <w:abstractNumId w:val="9"/>
  </w:num>
  <w:num w:numId="8" w16cid:durableId="1917014993">
    <w:abstractNumId w:val="4"/>
  </w:num>
  <w:num w:numId="9" w16cid:durableId="409691687">
    <w:abstractNumId w:val="0"/>
  </w:num>
  <w:num w:numId="10" w16cid:durableId="2917130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1AD"/>
    <w:rsid w:val="00025889"/>
    <w:rsid w:val="000D686C"/>
    <w:rsid w:val="001D063D"/>
    <w:rsid w:val="00320E38"/>
    <w:rsid w:val="00353CAB"/>
    <w:rsid w:val="005061AD"/>
    <w:rsid w:val="005A7DC4"/>
    <w:rsid w:val="005B5158"/>
    <w:rsid w:val="0084112E"/>
    <w:rsid w:val="008938F6"/>
    <w:rsid w:val="00925F54"/>
    <w:rsid w:val="009C1F05"/>
    <w:rsid w:val="00AE70EC"/>
    <w:rsid w:val="00B24AA0"/>
    <w:rsid w:val="00BE5AF0"/>
    <w:rsid w:val="00C22E2C"/>
    <w:rsid w:val="00C4647A"/>
    <w:rsid w:val="00CB74FA"/>
    <w:rsid w:val="00D27F84"/>
    <w:rsid w:val="00D41649"/>
    <w:rsid w:val="00E263A5"/>
    <w:rsid w:val="00FD63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355C8"/>
  <w15:chartTrackingRefBased/>
  <w15:docId w15:val="{C26AFF76-FA22-4D86-80EC-65AA92B62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634C"/>
    <w:pPr>
      <w:spacing w:after="0" w:line="240" w:lineRule="auto"/>
      <w:ind w:firstLine="284"/>
    </w:pPr>
    <w:rPr>
      <w:rFonts w:ascii="Times New Roman" w:hAnsi="Times New Roman"/>
      <w:sz w:val="24"/>
    </w:rPr>
  </w:style>
  <w:style w:type="paragraph" w:styleId="Titolo1">
    <w:name w:val="heading 1"/>
    <w:basedOn w:val="Normale"/>
    <w:next w:val="Normale"/>
    <w:link w:val="Titolo1Carattere"/>
    <w:uiPriority w:val="9"/>
    <w:qFormat/>
    <w:rsid w:val="00FD634C"/>
    <w:pPr>
      <w:keepNext/>
      <w:keepLines/>
      <w:spacing w:after="120"/>
      <w:jc w:val="center"/>
      <w:outlineLvl w:val="0"/>
    </w:pPr>
    <w:rPr>
      <w:rFonts w:ascii="Rockwell" w:eastAsiaTheme="majorEastAsia" w:hAnsi="Rockwell" w:cstheme="majorBidi"/>
      <w:sz w:val="28"/>
      <w:szCs w:val="32"/>
    </w:rPr>
  </w:style>
  <w:style w:type="paragraph" w:styleId="Titolo2">
    <w:name w:val="heading 2"/>
    <w:basedOn w:val="Normale"/>
    <w:next w:val="Normale"/>
    <w:link w:val="Titolo2Carattere"/>
    <w:autoRedefine/>
    <w:uiPriority w:val="99"/>
    <w:qFormat/>
    <w:rsid w:val="00025889"/>
    <w:pPr>
      <w:keepNext/>
      <w:keepLines/>
      <w:spacing w:before="120" w:after="120"/>
      <w:ind w:left="284" w:firstLine="0"/>
      <w:outlineLvl w:val="1"/>
    </w:pPr>
    <w:rPr>
      <w:rFonts w:eastAsia="Times New Roman"/>
      <w:i/>
      <w:szCs w:val="20"/>
    </w:rPr>
  </w:style>
  <w:style w:type="paragraph" w:styleId="Titolo3">
    <w:name w:val="heading 3"/>
    <w:basedOn w:val="Normale"/>
    <w:next w:val="Normale"/>
    <w:link w:val="Titolo3Carattere"/>
    <w:uiPriority w:val="9"/>
    <w:unhideWhenUsed/>
    <w:qFormat/>
    <w:rsid w:val="00C4647A"/>
    <w:pPr>
      <w:keepNext/>
      <w:keepLines/>
      <w:spacing w:before="40"/>
      <w:ind w:left="142" w:firstLine="0"/>
      <w:outlineLvl w:val="2"/>
    </w:pPr>
    <w:rPr>
      <w:rFonts w:eastAsiaTheme="majorEastAsia" w:cs="Times New Roman"/>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634C"/>
    <w:rPr>
      <w:rFonts w:ascii="Rockwell" w:eastAsiaTheme="majorEastAsia" w:hAnsi="Rockwell" w:cstheme="majorBidi"/>
      <w:sz w:val="28"/>
      <w:szCs w:val="32"/>
    </w:rPr>
  </w:style>
  <w:style w:type="character" w:customStyle="1" w:styleId="Titolo2Carattere">
    <w:name w:val="Titolo 2 Carattere"/>
    <w:basedOn w:val="Carpredefinitoparagrafo"/>
    <w:link w:val="Titolo2"/>
    <w:uiPriority w:val="99"/>
    <w:rsid w:val="00025889"/>
    <w:rPr>
      <w:rFonts w:ascii="Times New Roman" w:eastAsia="Times New Roman" w:hAnsi="Times New Roman"/>
      <w:i/>
      <w:sz w:val="24"/>
      <w:szCs w:val="20"/>
    </w:rPr>
  </w:style>
  <w:style w:type="character" w:customStyle="1" w:styleId="Titolo3Carattere">
    <w:name w:val="Titolo 3 Carattere"/>
    <w:basedOn w:val="Carpredefinitoparagrafo"/>
    <w:link w:val="Titolo3"/>
    <w:uiPriority w:val="9"/>
    <w:rsid w:val="00C4647A"/>
    <w:rPr>
      <w:rFonts w:ascii="Times New Roman" w:eastAsiaTheme="majorEastAsia" w:hAnsi="Times New Roman" w:cs="Times New Roman"/>
      <w:sz w:val="24"/>
      <w:szCs w:val="24"/>
    </w:rPr>
  </w:style>
  <w:style w:type="paragraph" w:styleId="Paragrafoelenco">
    <w:name w:val="List Paragraph"/>
    <w:basedOn w:val="Normale"/>
    <w:uiPriority w:val="34"/>
    <w:qFormat/>
    <w:rsid w:val="00C4647A"/>
    <w:pPr>
      <w:ind w:left="720"/>
      <w:contextualSpacing/>
    </w:pPr>
  </w:style>
  <w:style w:type="character" w:styleId="Collegamentoipertestuale">
    <w:name w:val="Hyperlink"/>
    <w:basedOn w:val="Carpredefinitoparagrafo"/>
    <w:uiPriority w:val="99"/>
    <w:semiHidden/>
    <w:unhideWhenUsed/>
    <w:rsid w:val="00C464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60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2428</Words>
  <Characters>13841</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dc:creator>
  <cp:keywords/>
  <dc:description/>
  <cp:lastModifiedBy>Stefano Romanello</cp:lastModifiedBy>
  <cp:revision>2</cp:revision>
  <dcterms:created xsi:type="dcterms:W3CDTF">2026-03-02T06:12:00Z</dcterms:created>
  <dcterms:modified xsi:type="dcterms:W3CDTF">2026-03-02T06:12:00Z</dcterms:modified>
</cp:coreProperties>
</file>