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4CB39" w14:textId="7D2B3D9C" w:rsidR="003B6B17" w:rsidRPr="001B2481" w:rsidRDefault="003B6B17" w:rsidP="001B2481">
      <w:pPr>
        <w:jc w:val="center"/>
        <w:rPr>
          <w:rFonts w:ascii="Times New Roman" w:hAnsi="Times New Roman" w:cs="Times New Roman"/>
          <w:b/>
          <w:bCs/>
          <w:sz w:val="28"/>
          <w:lang w:val="it-IT"/>
        </w:rPr>
      </w:pPr>
      <w:r w:rsidRPr="001B2481">
        <w:rPr>
          <w:rFonts w:ascii="Times New Roman" w:hAnsi="Times New Roman" w:cs="Times New Roman"/>
          <w:b/>
          <w:bCs/>
          <w:i/>
          <w:iCs/>
          <w:sz w:val="28"/>
          <w:lang w:val="it-IT"/>
        </w:rPr>
        <w:t xml:space="preserve">Esame per </w:t>
      </w:r>
      <w:r w:rsidR="00D10448" w:rsidRPr="001B2481">
        <w:rPr>
          <w:rFonts w:ascii="Times New Roman" w:hAnsi="Times New Roman" w:cs="Times New Roman"/>
          <w:b/>
          <w:bCs/>
          <w:i/>
          <w:iCs/>
          <w:sz w:val="28"/>
          <w:lang w:val="it-IT"/>
        </w:rPr>
        <w:t xml:space="preserve">Morale </w:t>
      </w:r>
      <w:r w:rsidRPr="001B2481">
        <w:rPr>
          <w:rFonts w:ascii="Times New Roman" w:hAnsi="Times New Roman" w:cs="Times New Roman"/>
          <w:b/>
          <w:bCs/>
          <w:i/>
          <w:iCs/>
          <w:sz w:val="28"/>
          <w:lang w:val="it-IT"/>
        </w:rPr>
        <w:t>della vita (prof. M. Chiodi</w:t>
      </w:r>
      <w:r w:rsidR="00C40E31" w:rsidRPr="001B2481">
        <w:rPr>
          <w:rFonts w:ascii="Times New Roman" w:hAnsi="Times New Roman" w:cs="Times New Roman"/>
          <w:b/>
          <w:bCs/>
          <w:i/>
          <w:iCs/>
          <w:sz w:val="28"/>
          <w:lang w:val="it-IT"/>
        </w:rPr>
        <w:t xml:space="preserve"> – prof. </w:t>
      </w:r>
      <w:r w:rsidR="001B2481" w:rsidRPr="001B2481">
        <w:rPr>
          <w:rFonts w:ascii="Times New Roman" w:hAnsi="Times New Roman" w:cs="Times New Roman"/>
          <w:b/>
          <w:bCs/>
          <w:i/>
          <w:iCs/>
          <w:sz w:val="28"/>
          <w:lang w:val="it-IT"/>
        </w:rPr>
        <w:t>D. Bonazzoli</w:t>
      </w:r>
      <w:r w:rsidRPr="001B2481">
        <w:rPr>
          <w:rFonts w:ascii="Times New Roman" w:hAnsi="Times New Roman" w:cs="Times New Roman"/>
          <w:b/>
          <w:bCs/>
          <w:i/>
          <w:iCs/>
          <w:sz w:val="28"/>
          <w:lang w:val="it-IT"/>
        </w:rPr>
        <w:t>)</w:t>
      </w:r>
    </w:p>
    <w:p w14:paraId="68350845" w14:textId="77777777" w:rsidR="00EE39A8" w:rsidRPr="001B2481" w:rsidRDefault="00702031" w:rsidP="001B248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B2481">
        <w:rPr>
          <w:rFonts w:ascii="Times New Roman" w:hAnsi="Times New Roman" w:cs="Times New Roman"/>
          <w:sz w:val="24"/>
          <w:szCs w:val="24"/>
          <w:lang w:val="it-IT"/>
        </w:rPr>
        <w:t>Carissimi studenti</w:t>
      </w:r>
      <w:r w:rsidR="00E179B3" w:rsidRPr="001B2481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1B2481">
        <w:rPr>
          <w:rFonts w:ascii="Times New Roman" w:hAnsi="Times New Roman" w:cs="Times New Roman"/>
          <w:sz w:val="24"/>
          <w:szCs w:val="24"/>
          <w:lang w:val="it-IT"/>
        </w:rPr>
        <w:t xml:space="preserve"> le domande </w:t>
      </w:r>
      <w:r w:rsidR="00E179B3" w:rsidRPr="001B2481">
        <w:rPr>
          <w:rFonts w:ascii="Times New Roman" w:hAnsi="Times New Roman" w:cs="Times New Roman"/>
          <w:sz w:val="24"/>
          <w:szCs w:val="24"/>
          <w:lang w:val="it-IT"/>
        </w:rPr>
        <w:t xml:space="preserve">all’esame saranno due, </w:t>
      </w:r>
      <w:r w:rsidR="00C40E31" w:rsidRPr="001B2481">
        <w:rPr>
          <w:rFonts w:ascii="Times New Roman" w:hAnsi="Times New Roman" w:cs="Times New Roman"/>
          <w:sz w:val="24"/>
          <w:szCs w:val="24"/>
          <w:lang w:val="it-IT"/>
        </w:rPr>
        <w:t xml:space="preserve">per </w:t>
      </w:r>
      <w:r w:rsidR="00E179B3" w:rsidRPr="001B2481">
        <w:rPr>
          <w:rFonts w:ascii="Times New Roman" w:hAnsi="Times New Roman" w:cs="Times New Roman"/>
          <w:sz w:val="24"/>
          <w:szCs w:val="24"/>
          <w:lang w:val="it-IT"/>
        </w:rPr>
        <w:t xml:space="preserve">ciascun </w:t>
      </w:r>
      <w:r w:rsidR="00C40E31" w:rsidRPr="001B2481">
        <w:rPr>
          <w:rFonts w:ascii="Times New Roman" w:hAnsi="Times New Roman" w:cs="Times New Roman"/>
          <w:sz w:val="24"/>
          <w:szCs w:val="24"/>
          <w:lang w:val="it-IT"/>
        </w:rPr>
        <w:t>studente</w:t>
      </w:r>
      <w:r w:rsidR="00E179B3" w:rsidRPr="001B2481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C40E31" w:rsidRPr="001B2481">
        <w:rPr>
          <w:rFonts w:ascii="Times New Roman" w:hAnsi="Times New Roman" w:cs="Times New Roman"/>
          <w:sz w:val="24"/>
          <w:szCs w:val="24"/>
          <w:lang w:val="it-IT"/>
        </w:rPr>
        <w:t xml:space="preserve">una del prof. Chiodi e l’altra del prof. </w:t>
      </w:r>
      <w:r w:rsidR="00D86DAF" w:rsidRPr="001B2481">
        <w:rPr>
          <w:rFonts w:ascii="Times New Roman" w:hAnsi="Times New Roman" w:cs="Times New Roman"/>
          <w:sz w:val="24"/>
          <w:szCs w:val="24"/>
          <w:lang w:val="it-IT"/>
        </w:rPr>
        <w:t>Bonazzoli</w:t>
      </w:r>
      <w:r w:rsidR="00C40E31" w:rsidRPr="001B2481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1B2481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9219DC" w:rsidRPr="001B2481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EE39A8" w:rsidRPr="001B2481">
        <w:rPr>
          <w:rFonts w:ascii="Times New Roman" w:hAnsi="Times New Roman" w:cs="Times New Roman"/>
          <w:sz w:val="24"/>
          <w:szCs w:val="24"/>
          <w:lang w:val="it-IT"/>
        </w:rPr>
        <w:t xml:space="preserve">l testo per lo studio è </w:t>
      </w:r>
      <w:r w:rsidR="00EE39A8" w:rsidRPr="001B2481">
        <w:rPr>
          <w:rFonts w:ascii="Times New Roman" w:hAnsi="Times New Roman" w:cs="Times New Roman"/>
          <w:smallCaps/>
          <w:sz w:val="24"/>
          <w:szCs w:val="24"/>
          <w:lang w:val="it-IT"/>
        </w:rPr>
        <w:t>M. Chiodi – M. Reichlin</w:t>
      </w:r>
      <w:r w:rsidR="00EE39A8" w:rsidRPr="001B2481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EE39A8" w:rsidRPr="001B2481">
        <w:rPr>
          <w:rFonts w:ascii="Times New Roman" w:hAnsi="Times New Roman" w:cs="Times New Roman"/>
          <w:i/>
          <w:iCs/>
          <w:sz w:val="24"/>
          <w:szCs w:val="24"/>
          <w:lang w:val="it-IT"/>
        </w:rPr>
        <w:t>Morale della vita. Bioetica in prospettiva filosofica e teologica</w:t>
      </w:r>
      <w:r w:rsidR="00EE39A8" w:rsidRPr="001B2481">
        <w:rPr>
          <w:rFonts w:ascii="Times New Roman" w:hAnsi="Times New Roman" w:cs="Times New Roman"/>
          <w:sz w:val="24"/>
          <w:szCs w:val="24"/>
          <w:lang w:val="it-IT"/>
        </w:rPr>
        <w:t xml:space="preserve">, Queriniana, Brescia </w:t>
      </w:r>
      <w:r w:rsidR="003B6B17" w:rsidRPr="001B2481">
        <w:rPr>
          <w:rFonts w:ascii="Times New Roman" w:hAnsi="Times New Roman" w:cs="Times New Roman"/>
          <w:sz w:val="24"/>
          <w:szCs w:val="24"/>
          <w:lang w:val="it-IT"/>
        </w:rPr>
        <w:t xml:space="preserve">2017 (a questo fanno </w:t>
      </w:r>
      <w:r w:rsidR="00D86DAF" w:rsidRPr="001B2481">
        <w:rPr>
          <w:rFonts w:ascii="Times New Roman" w:hAnsi="Times New Roman" w:cs="Times New Roman"/>
          <w:sz w:val="24"/>
          <w:szCs w:val="24"/>
          <w:lang w:val="it-IT"/>
        </w:rPr>
        <w:t xml:space="preserve">riferimento le pagine accanto alle </w:t>
      </w:r>
      <w:r w:rsidR="003B6B17" w:rsidRPr="001B2481">
        <w:rPr>
          <w:rFonts w:ascii="Times New Roman" w:hAnsi="Times New Roman" w:cs="Times New Roman"/>
          <w:sz w:val="24"/>
          <w:szCs w:val="24"/>
          <w:lang w:val="it-IT"/>
        </w:rPr>
        <w:t>domande)</w:t>
      </w:r>
      <w:r w:rsidR="009219DC" w:rsidRPr="001B2481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14:paraId="558B329B" w14:textId="77777777" w:rsidR="00702031" w:rsidRPr="001B2481" w:rsidRDefault="00702031" w:rsidP="001B248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B2481">
        <w:rPr>
          <w:rFonts w:ascii="Times New Roman" w:hAnsi="Times New Roman" w:cs="Times New Roman"/>
          <w:sz w:val="24"/>
          <w:szCs w:val="24"/>
          <w:lang w:val="it-IT"/>
        </w:rPr>
        <w:t xml:space="preserve">La tecnica nel mondo greco. </w:t>
      </w:r>
      <w:proofErr w:type="spellStart"/>
      <w:r w:rsidRPr="001B2481">
        <w:rPr>
          <w:rFonts w:ascii="Times New Roman" w:hAnsi="Times New Roman" w:cs="Times New Roman"/>
          <w:i/>
          <w:iCs/>
          <w:sz w:val="24"/>
          <w:szCs w:val="24"/>
          <w:lang w:val="it-IT"/>
        </w:rPr>
        <w:t>Téchnē</w:t>
      </w:r>
      <w:proofErr w:type="spellEnd"/>
      <w:r w:rsidRPr="001B2481"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proofErr w:type="spellStart"/>
      <w:r w:rsidRPr="001B2481">
        <w:rPr>
          <w:rFonts w:ascii="Times New Roman" w:hAnsi="Times New Roman" w:cs="Times New Roman"/>
          <w:i/>
          <w:iCs/>
          <w:sz w:val="24"/>
          <w:szCs w:val="24"/>
          <w:lang w:val="it-IT"/>
        </w:rPr>
        <w:t>phýsis</w:t>
      </w:r>
      <w:proofErr w:type="spellEnd"/>
      <w:r w:rsidRPr="001B2481">
        <w:rPr>
          <w:rFonts w:ascii="Times New Roman" w:hAnsi="Times New Roman" w:cs="Times New Roman"/>
          <w:sz w:val="24"/>
          <w:szCs w:val="24"/>
          <w:lang w:val="it-IT"/>
        </w:rPr>
        <w:t>: Aristotele</w:t>
      </w:r>
      <w:r w:rsidR="003B6B17" w:rsidRPr="001B2481">
        <w:rPr>
          <w:rFonts w:ascii="Times New Roman" w:hAnsi="Times New Roman" w:cs="Times New Roman"/>
          <w:sz w:val="24"/>
          <w:szCs w:val="24"/>
          <w:lang w:val="it-IT"/>
        </w:rPr>
        <w:t xml:space="preserve"> (pp. 13-18)</w:t>
      </w:r>
      <w:r w:rsidR="00E179B3" w:rsidRPr="001B2481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1B2481">
        <w:rPr>
          <w:rFonts w:ascii="Times New Roman" w:hAnsi="Times New Roman" w:cs="Times New Roman"/>
          <w:sz w:val="24"/>
          <w:szCs w:val="24"/>
          <w:lang w:val="it-IT"/>
        </w:rPr>
        <w:t>Prometeo, il mito tragico</w:t>
      </w:r>
      <w:r w:rsidR="00D10448" w:rsidRPr="001B2481">
        <w:rPr>
          <w:rFonts w:ascii="Times New Roman" w:hAnsi="Times New Roman" w:cs="Times New Roman"/>
          <w:sz w:val="24"/>
          <w:szCs w:val="24"/>
          <w:lang w:val="it-IT"/>
        </w:rPr>
        <w:t xml:space="preserve"> (pp. 19-25)</w:t>
      </w:r>
    </w:p>
    <w:p w14:paraId="58214198" w14:textId="77777777" w:rsidR="00702031" w:rsidRPr="001B2481" w:rsidRDefault="00702031" w:rsidP="001B248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B2481">
        <w:rPr>
          <w:rFonts w:ascii="Times New Roman" w:hAnsi="Times New Roman" w:cs="Times New Roman"/>
          <w:sz w:val="24"/>
          <w:szCs w:val="24"/>
          <w:lang w:val="it-IT"/>
        </w:rPr>
        <w:t xml:space="preserve">Le questioni teoriche (cap. </w:t>
      </w:r>
      <w:r w:rsidRPr="001B2481">
        <w:rPr>
          <w:rFonts w:ascii="Times New Roman" w:hAnsi="Times New Roman" w:cs="Times New Roman"/>
          <w:i/>
          <w:iCs/>
          <w:sz w:val="24"/>
          <w:szCs w:val="24"/>
          <w:lang w:val="it-IT"/>
        </w:rPr>
        <w:t>La cultura moderna, la tecnica e la medicina</w:t>
      </w:r>
      <w:r w:rsidRPr="001B2481">
        <w:rPr>
          <w:rFonts w:ascii="Times New Roman" w:hAnsi="Times New Roman" w:cs="Times New Roman"/>
          <w:sz w:val="24"/>
          <w:szCs w:val="24"/>
          <w:lang w:val="it-IT"/>
        </w:rPr>
        <w:t>)</w:t>
      </w:r>
      <w:r w:rsidR="00EE39A8" w:rsidRPr="001B2481">
        <w:rPr>
          <w:rFonts w:ascii="Times New Roman" w:hAnsi="Times New Roman" w:cs="Times New Roman"/>
          <w:sz w:val="24"/>
          <w:szCs w:val="24"/>
          <w:lang w:val="it-IT"/>
        </w:rPr>
        <w:t xml:space="preserve"> (pp. 66-79)</w:t>
      </w:r>
    </w:p>
    <w:p w14:paraId="0EDE4388" w14:textId="77777777" w:rsidR="00702031" w:rsidRPr="001B2481" w:rsidRDefault="00D10448" w:rsidP="001B248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B2481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702031" w:rsidRPr="001B2481">
        <w:rPr>
          <w:rFonts w:ascii="Times New Roman" w:hAnsi="Times New Roman" w:cs="Times New Roman"/>
          <w:sz w:val="24"/>
          <w:szCs w:val="24"/>
          <w:lang w:val="it-IT"/>
        </w:rPr>
        <w:t xml:space="preserve">l </w:t>
      </w:r>
      <w:r w:rsidRPr="001B2481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="00702031" w:rsidRPr="001B2481">
        <w:rPr>
          <w:rFonts w:ascii="Times New Roman" w:hAnsi="Times New Roman" w:cs="Times New Roman"/>
          <w:sz w:val="24"/>
          <w:szCs w:val="24"/>
          <w:lang w:val="it-IT"/>
        </w:rPr>
        <w:t>non uccidere</w:t>
      </w:r>
      <w:r w:rsidRPr="001B2481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="00702031" w:rsidRPr="001B2481">
        <w:rPr>
          <w:rFonts w:ascii="Times New Roman" w:hAnsi="Times New Roman" w:cs="Times New Roman"/>
          <w:sz w:val="24"/>
          <w:szCs w:val="24"/>
          <w:lang w:val="it-IT"/>
        </w:rPr>
        <w:t xml:space="preserve">, nella </w:t>
      </w:r>
      <w:r w:rsidRPr="001B2481">
        <w:rPr>
          <w:rFonts w:ascii="Times New Roman" w:hAnsi="Times New Roman" w:cs="Times New Roman"/>
          <w:sz w:val="24"/>
          <w:szCs w:val="24"/>
          <w:lang w:val="it-IT"/>
        </w:rPr>
        <w:t xml:space="preserve">storia della </w:t>
      </w:r>
      <w:r w:rsidR="00702031" w:rsidRPr="001B2481">
        <w:rPr>
          <w:rFonts w:ascii="Times New Roman" w:hAnsi="Times New Roman" w:cs="Times New Roman"/>
          <w:sz w:val="24"/>
          <w:szCs w:val="24"/>
          <w:lang w:val="it-IT"/>
        </w:rPr>
        <w:t>teologia e nella Scrittura (pp. 115-128)</w:t>
      </w:r>
    </w:p>
    <w:p w14:paraId="7FD16DAD" w14:textId="77777777" w:rsidR="00702031" w:rsidRPr="001B2481" w:rsidRDefault="00EE39A8" w:rsidP="001B248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B2481">
        <w:rPr>
          <w:rFonts w:ascii="Times New Roman" w:hAnsi="Times New Roman" w:cs="Times New Roman"/>
          <w:sz w:val="24"/>
          <w:szCs w:val="24"/>
          <w:lang w:val="it-IT"/>
        </w:rPr>
        <w:t>L’etica medica e le questioni della salute (pp. 138-147)</w:t>
      </w:r>
    </w:p>
    <w:p w14:paraId="0C2008D9" w14:textId="7D8CADA9" w:rsidR="00D86DAF" w:rsidRPr="001B2481" w:rsidRDefault="00EE39A8" w:rsidP="001B248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B2481">
        <w:rPr>
          <w:rFonts w:ascii="Times New Roman" w:hAnsi="Times New Roman" w:cs="Times New Roman"/>
          <w:sz w:val="24"/>
          <w:szCs w:val="24"/>
          <w:lang w:val="it-IT"/>
        </w:rPr>
        <w:t>La vita come questione teologico-cristologica: un modello fenomenologico-teologico, antropologia e teologia della vita (p. 203-216)</w:t>
      </w:r>
    </w:p>
    <w:p w14:paraId="44002B9F" w14:textId="3489092D" w:rsidR="00EE39A8" w:rsidRDefault="00EE39A8" w:rsidP="001B248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B2481">
        <w:rPr>
          <w:rFonts w:ascii="Times New Roman" w:hAnsi="Times New Roman" w:cs="Times New Roman"/>
          <w:sz w:val="24"/>
          <w:szCs w:val="24"/>
          <w:lang w:val="it-IT"/>
        </w:rPr>
        <w:t>L’esperienza della vita e il senso del morire</w:t>
      </w:r>
      <w:r w:rsidR="00C211A8" w:rsidRPr="001B2481">
        <w:rPr>
          <w:rFonts w:ascii="Times New Roman" w:hAnsi="Times New Roman" w:cs="Times New Roman"/>
          <w:sz w:val="24"/>
          <w:szCs w:val="24"/>
          <w:lang w:val="it-IT"/>
        </w:rPr>
        <w:t xml:space="preserve">: le forme storiche e </w:t>
      </w:r>
      <w:r w:rsidR="001B2481" w:rsidRPr="001B2481">
        <w:rPr>
          <w:rFonts w:ascii="Times New Roman" w:hAnsi="Times New Roman" w:cs="Times New Roman"/>
          <w:sz w:val="24"/>
          <w:szCs w:val="24"/>
          <w:lang w:val="it-IT"/>
        </w:rPr>
        <w:t xml:space="preserve">la riflessione di E. </w:t>
      </w:r>
      <w:proofErr w:type="spellStart"/>
      <w:r w:rsidR="00C211A8" w:rsidRPr="001B2481">
        <w:rPr>
          <w:rFonts w:ascii="Times New Roman" w:hAnsi="Times New Roman" w:cs="Times New Roman"/>
          <w:sz w:val="24"/>
          <w:szCs w:val="24"/>
          <w:lang w:val="it-IT"/>
        </w:rPr>
        <w:t>Lévinas</w:t>
      </w:r>
      <w:proofErr w:type="spellEnd"/>
      <w:r w:rsidR="00C211A8" w:rsidRPr="001B248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B2481">
        <w:rPr>
          <w:rFonts w:ascii="Times New Roman" w:hAnsi="Times New Roman" w:cs="Times New Roman"/>
          <w:sz w:val="24"/>
          <w:szCs w:val="24"/>
          <w:lang w:val="it-IT"/>
        </w:rPr>
        <w:t>(pp. 286-</w:t>
      </w:r>
      <w:r w:rsidR="00D10448" w:rsidRPr="001B2481">
        <w:rPr>
          <w:rFonts w:ascii="Times New Roman" w:hAnsi="Times New Roman" w:cs="Times New Roman"/>
          <w:sz w:val="24"/>
          <w:szCs w:val="24"/>
          <w:lang w:val="it-IT"/>
        </w:rPr>
        <w:t>298</w:t>
      </w:r>
      <w:r w:rsidRPr="001B2481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781F98B9" w14:textId="77777777" w:rsidR="001B2481" w:rsidRPr="001B2481" w:rsidRDefault="001B2481" w:rsidP="001B248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B2481">
        <w:rPr>
          <w:rFonts w:ascii="Times New Roman" w:hAnsi="Times New Roman" w:cs="Times New Roman"/>
          <w:sz w:val="24"/>
          <w:szCs w:val="24"/>
          <w:lang w:val="it-IT"/>
        </w:rPr>
        <w:t xml:space="preserve">L’esperienza della vita e il senso del nascere, nel confronto con H. Arendt e P. </w:t>
      </w:r>
      <w:proofErr w:type="spellStart"/>
      <w:r w:rsidRPr="001B2481">
        <w:rPr>
          <w:rFonts w:ascii="Times New Roman" w:hAnsi="Times New Roman" w:cs="Times New Roman"/>
          <w:sz w:val="24"/>
          <w:szCs w:val="24"/>
          <w:lang w:val="it-IT"/>
        </w:rPr>
        <w:t>Ricœur</w:t>
      </w:r>
      <w:proofErr w:type="spellEnd"/>
      <w:r w:rsidRPr="001B2481">
        <w:rPr>
          <w:rFonts w:ascii="Times New Roman" w:hAnsi="Times New Roman" w:cs="Times New Roman"/>
          <w:sz w:val="24"/>
          <w:szCs w:val="24"/>
          <w:lang w:val="it-IT"/>
        </w:rPr>
        <w:t xml:space="preserve"> (219-227) </w:t>
      </w:r>
    </w:p>
    <w:p w14:paraId="6F32F348" w14:textId="77777777" w:rsidR="001B2481" w:rsidRPr="001B2481" w:rsidRDefault="001B2481" w:rsidP="001B248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B2481">
        <w:rPr>
          <w:rFonts w:ascii="Times New Roman" w:hAnsi="Times New Roman" w:cs="Times New Roman"/>
          <w:sz w:val="24"/>
          <w:szCs w:val="24"/>
          <w:lang w:val="it-IT"/>
        </w:rPr>
        <w:t xml:space="preserve">Nascere e generare. Il senso antropologico-morale e religioso (pp. 227-236) </w:t>
      </w:r>
    </w:p>
    <w:p w14:paraId="0831C357" w14:textId="03FD7D84" w:rsidR="001B2481" w:rsidRPr="001B2481" w:rsidRDefault="001B2481" w:rsidP="001B248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B2481">
        <w:rPr>
          <w:rFonts w:ascii="Times New Roman" w:hAnsi="Times New Roman" w:cs="Times New Roman"/>
          <w:sz w:val="24"/>
          <w:szCs w:val="24"/>
          <w:lang w:val="it-IT"/>
        </w:rPr>
        <w:t>Il dibattito bioetico-teologico sull’aborto provocato, la procreazione medicalmente assistita, la diagnosi prenatale, le cellule staminali e la biogenetica (pp. 269-285)</w:t>
      </w:r>
    </w:p>
    <w:p w14:paraId="559654D8" w14:textId="4A2787BB" w:rsidR="00D10448" w:rsidRPr="001B2481" w:rsidRDefault="00D762E7" w:rsidP="001B248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B2481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="00D10448" w:rsidRPr="001B2481">
        <w:rPr>
          <w:rFonts w:ascii="Times New Roman" w:hAnsi="Times New Roman" w:cs="Times New Roman"/>
          <w:sz w:val="24"/>
          <w:szCs w:val="24"/>
          <w:lang w:val="it-IT"/>
        </w:rPr>
        <w:t xml:space="preserve"> teologia della morte in Rahner e la morte nella S. Scrittura (pp. 298-309)</w:t>
      </w:r>
    </w:p>
    <w:p w14:paraId="2697BC48" w14:textId="394770B8" w:rsidR="00847A12" w:rsidRPr="001B2481" w:rsidRDefault="00847A12" w:rsidP="001B248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B2481">
        <w:rPr>
          <w:rFonts w:ascii="Times New Roman" w:hAnsi="Times New Roman" w:cs="Times New Roman"/>
          <w:sz w:val="24"/>
          <w:szCs w:val="24"/>
          <w:lang w:val="it-IT"/>
        </w:rPr>
        <w:t>La discussione intorno all’accertamento della morte (</w:t>
      </w:r>
      <w:r w:rsidR="001B2481">
        <w:rPr>
          <w:rFonts w:ascii="Times New Roman" w:hAnsi="Times New Roman" w:cs="Times New Roman"/>
          <w:sz w:val="24"/>
          <w:szCs w:val="24"/>
          <w:lang w:val="it-IT"/>
        </w:rPr>
        <w:t xml:space="preserve">genesi e scopo del rapporto di </w:t>
      </w:r>
      <w:r w:rsidRPr="001B2481">
        <w:rPr>
          <w:rFonts w:ascii="Times New Roman" w:hAnsi="Times New Roman" w:cs="Times New Roman"/>
          <w:sz w:val="24"/>
          <w:szCs w:val="24"/>
          <w:lang w:val="it-IT"/>
        </w:rPr>
        <w:t>Harvard) e le problematiche relative al fine vita (</w:t>
      </w:r>
      <w:proofErr w:type="spellStart"/>
      <w:r w:rsidRPr="001B2481">
        <w:rPr>
          <w:rFonts w:ascii="Times New Roman" w:hAnsi="Times New Roman" w:cs="Times New Roman"/>
          <w:i/>
          <w:iCs/>
          <w:sz w:val="24"/>
          <w:szCs w:val="24"/>
          <w:lang w:val="it-IT"/>
        </w:rPr>
        <w:t>Unresponsive</w:t>
      </w:r>
      <w:proofErr w:type="spellEnd"/>
      <w:r w:rsidRPr="001B2481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proofErr w:type="spellStart"/>
      <w:r w:rsidRPr="001B2481">
        <w:rPr>
          <w:rFonts w:ascii="Times New Roman" w:hAnsi="Times New Roman" w:cs="Times New Roman"/>
          <w:i/>
          <w:iCs/>
          <w:sz w:val="24"/>
          <w:szCs w:val="24"/>
          <w:lang w:val="it-IT"/>
        </w:rPr>
        <w:t>Wakefulness</w:t>
      </w:r>
      <w:proofErr w:type="spellEnd"/>
      <w:r w:rsidRPr="001B2481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proofErr w:type="spellStart"/>
      <w:r w:rsidRPr="001B2481">
        <w:rPr>
          <w:rFonts w:ascii="Times New Roman" w:hAnsi="Times New Roman" w:cs="Times New Roman"/>
          <w:i/>
          <w:iCs/>
          <w:sz w:val="24"/>
          <w:szCs w:val="24"/>
          <w:lang w:val="it-IT"/>
        </w:rPr>
        <w:t>Syndrome</w:t>
      </w:r>
      <w:proofErr w:type="spellEnd"/>
      <w:r w:rsidRPr="001B2481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proofErr w:type="spellStart"/>
      <w:r w:rsidRPr="001B2481">
        <w:rPr>
          <w:rFonts w:ascii="Times New Roman" w:hAnsi="Times New Roman" w:cs="Times New Roman"/>
          <w:i/>
          <w:iCs/>
          <w:sz w:val="24"/>
          <w:szCs w:val="24"/>
          <w:lang w:val="it-IT"/>
        </w:rPr>
        <w:t>Minimaly</w:t>
      </w:r>
      <w:proofErr w:type="spellEnd"/>
      <w:r w:rsidRPr="001B2481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proofErr w:type="spellStart"/>
      <w:r w:rsidRPr="001B2481">
        <w:rPr>
          <w:rFonts w:ascii="Times New Roman" w:hAnsi="Times New Roman" w:cs="Times New Roman"/>
          <w:i/>
          <w:iCs/>
          <w:sz w:val="24"/>
          <w:szCs w:val="24"/>
          <w:lang w:val="it-IT"/>
        </w:rPr>
        <w:t>Conscius</w:t>
      </w:r>
      <w:proofErr w:type="spellEnd"/>
      <w:r w:rsidRPr="001B2481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State</w:t>
      </w:r>
      <w:r w:rsidRPr="001B2481">
        <w:rPr>
          <w:rFonts w:ascii="Times New Roman" w:hAnsi="Times New Roman" w:cs="Times New Roman"/>
          <w:sz w:val="24"/>
          <w:szCs w:val="24"/>
          <w:lang w:val="it-IT"/>
        </w:rPr>
        <w:t>; idro-nutrizione)</w:t>
      </w:r>
    </w:p>
    <w:p w14:paraId="698EE23B" w14:textId="6A137F1B" w:rsidR="00847A12" w:rsidRPr="001B2481" w:rsidRDefault="00847A12" w:rsidP="001B248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B2481">
        <w:rPr>
          <w:rFonts w:ascii="Times New Roman" w:hAnsi="Times New Roman" w:cs="Times New Roman"/>
          <w:sz w:val="24"/>
          <w:szCs w:val="24"/>
          <w:lang w:val="it-IT"/>
        </w:rPr>
        <w:t xml:space="preserve">Ontologia della vita ed evento della morte (articolo su </w:t>
      </w:r>
      <w:r w:rsidRPr="001B2481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Studia </w:t>
      </w:r>
      <w:proofErr w:type="spellStart"/>
      <w:r w:rsidRPr="001B2481">
        <w:rPr>
          <w:rFonts w:ascii="Times New Roman" w:hAnsi="Times New Roman" w:cs="Times New Roman"/>
          <w:i/>
          <w:iCs/>
          <w:sz w:val="24"/>
          <w:szCs w:val="24"/>
          <w:lang w:val="it-IT"/>
        </w:rPr>
        <w:t>Moralia</w:t>
      </w:r>
      <w:proofErr w:type="spellEnd"/>
      <w:r w:rsidRPr="001B248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B2481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Pr="001B2481">
        <w:rPr>
          <w:rFonts w:ascii="Times New Roman" w:hAnsi="Times New Roman" w:cs="Times New Roman"/>
          <w:sz w:val="24"/>
          <w:szCs w:val="24"/>
          <w:lang w:val="it-IT"/>
        </w:rPr>
        <w:t>Bonazzoli)</w:t>
      </w:r>
    </w:p>
    <w:p w14:paraId="0341B365" w14:textId="72FC9A43" w:rsidR="00EE39A8" w:rsidRPr="001B2481" w:rsidRDefault="00B67C01" w:rsidP="001B248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B2481">
        <w:rPr>
          <w:rFonts w:ascii="Times New Roman" w:hAnsi="Times New Roman" w:cs="Times New Roman"/>
          <w:sz w:val="24"/>
          <w:szCs w:val="24"/>
          <w:lang w:val="it-IT"/>
        </w:rPr>
        <w:t xml:space="preserve">Questioni etiche sul morire. </w:t>
      </w:r>
      <w:r w:rsidR="00EE39A8" w:rsidRPr="001B2481">
        <w:rPr>
          <w:rFonts w:ascii="Times New Roman" w:hAnsi="Times New Roman" w:cs="Times New Roman"/>
          <w:sz w:val="24"/>
          <w:szCs w:val="24"/>
          <w:lang w:val="it-IT"/>
        </w:rPr>
        <w:t>Il dibattito etico-teologico (pp. 342-352)</w:t>
      </w:r>
    </w:p>
    <w:p w14:paraId="5FB6FB31" w14:textId="178B43C9" w:rsidR="00847A12" w:rsidRPr="001B2481" w:rsidRDefault="00847A12" w:rsidP="001B248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B2481">
        <w:rPr>
          <w:rFonts w:ascii="Times New Roman" w:hAnsi="Times New Roman" w:cs="Times New Roman"/>
          <w:sz w:val="24"/>
          <w:szCs w:val="24"/>
          <w:lang w:val="it-IT"/>
        </w:rPr>
        <w:t>Patire, desiderare e soffrire: antropologia e teologia (con spiegazione critica dell’antropologia delle passioni di san Tommaso) (356-362 + scheda del prof. Bonazzoli)</w:t>
      </w:r>
    </w:p>
    <w:p w14:paraId="54B43017" w14:textId="40D72152" w:rsidR="00847A12" w:rsidRPr="001B2481" w:rsidRDefault="00847A12" w:rsidP="001B248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B2481">
        <w:rPr>
          <w:rFonts w:ascii="Times New Roman" w:hAnsi="Times New Roman" w:cs="Times New Roman"/>
          <w:sz w:val="24"/>
          <w:szCs w:val="24"/>
          <w:lang w:val="it-IT"/>
        </w:rPr>
        <w:t>La sofferenza nella Sacra Scrittura (370-377; con particolare riferimento all’esperienza di Giobbe)</w:t>
      </w:r>
    </w:p>
    <w:p w14:paraId="2A87BB14" w14:textId="4EAA0265" w:rsidR="00D86DAF" w:rsidRDefault="00847A12" w:rsidP="001B248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B2481">
        <w:rPr>
          <w:rFonts w:ascii="Times New Roman" w:hAnsi="Times New Roman" w:cs="Times New Roman"/>
          <w:sz w:val="24"/>
          <w:szCs w:val="24"/>
          <w:lang w:val="it-IT"/>
        </w:rPr>
        <w:t xml:space="preserve">Le questioni etico-teologiche (405-419 + articolo su </w:t>
      </w:r>
      <w:r w:rsidRPr="001B2481">
        <w:rPr>
          <w:rFonts w:ascii="Times New Roman" w:hAnsi="Times New Roman" w:cs="Times New Roman"/>
          <w:i/>
          <w:iCs/>
          <w:sz w:val="24"/>
          <w:szCs w:val="24"/>
          <w:lang w:val="it-IT"/>
        </w:rPr>
        <w:t>Teologia</w:t>
      </w:r>
      <w:r w:rsidRPr="001B2481">
        <w:rPr>
          <w:rFonts w:ascii="Times New Roman" w:hAnsi="Times New Roman" w:cs="Times New Roman"/>
          <w:sz w:val="24"/>
          <w:szCs w:val="24"/>
          <w:lang w:val="it-IT"/>
        </w:rPr>
        <w:t xml:space="preserve"> di Bonazzoli)</w:t>
      </w:r>
    </w:p>
    <w:p w14:paraId="6B2AC0F1" w14:textId="77777777" w:rsidR="001B2481" w:rsidRPr="001B2481" w:rsidRDefault="001B2481" w:rsidP="001B2481">
      <w:pPr>
        <w:pStyle w:val="Paragrafoelenc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9E2641E" w14:textId="77777777" w:rsidR="001B2481" w:rsidRPr="001B2481" w:rsidRDefault="00C40E31" w:rsidP="001B24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1B2481">
        <w:rPr>
          <w:rFonts w:ascii="Times New Roman" w:hAnsi="Times New Roman" w:cs="Times New Roman"/>
          <w:sz w:val="24"/>
          <w:szCs w:val="24"/>
          <w:lang w:val="it-IT"/>
        </w:rPr>
        <w:t>Prof. Maurizio Chiodi</w:t>
      </w:r>
    </w:p>
    <w:p w14:paraId="40B1EA8A" w14:textId="7D27DE7D" w:rsidR="00C40E31" w:rsidRPr="001B2481" w:rsidRDefault="00C40E31" w:rsidP="001B24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1B2481">
        <w:rPr>
          <w:rFonts w:ascii="Times New Roman" w:hAnsi="Times New Roman" w:cs="Times New Roman"/>
          <w:sz w:val="24"/>
          <w:szCs w:val="24"/>
          <w:lang w:val="it-IT"/>
        </w:rPr>
        <w:t xml:space="preserve">Prof. </w:t>
      </w:r>
      <w:r w:rsidR="00D86DAF" w:rsidRPr="001B2481">
        <w:rPr>
          <w:rFonts w:ascii="Times New Roman" w:hAnsi="Times New Roman" w:cs="Times New Roman"/>
          <w:sz w:val="24"/>
          <w:szCs w:val="24"/>
          <w:lang w:val="it-IT"/>
        </w:rPr>
        <w:t>Davide Bonazzoli</w:t>
      </w:r>
    </w:p>
    <w:p w14:paraId="7D8F4A88" w14:textId="77777777" w:rsidR="001B2481" w:rsidRPr="001B2481" w:rsidRDefault="001B2481" w:rsidP="001B2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47F91FE" w14:textId="3424A0E4" w:rsidR="00C40E31" w:rsidRPr="001B2481" w:rsidRDefault="00C40E31" w:rsidP="001B248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B2481">
        <w:rPr>
          <w:rFonts w:ascii="Times New Roman" w:hAnsi="Times New Roman" w:cs="Times New Roman"/>
          <w:sz w:val="24"/>
          <w:szCs w:val="24"/>
          <w:lang w:val="it-IT"/>
        </w:rPr>
        <w:t>Milano</w:t>
      </w:r>
      <w:r w:rsidR="001B2481" w:rsidRPr="001B2481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1B248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86DAF" w:rsidRPr="001B2481">
        <w:rPr>
          <w:rFonts w:ascii="Times New Roman" w:hAnsi="Times New Roman" w:cs="Times New Roman"/>
          <w:sz w:val="24"/>
          <w:szCs w:val="24"/>
          <w:lang w:val="it-IT"/>
        </w:rPr>
        <w:t>0</w:t>
      </w:r>
      <w:r w:rsidR="008705B9" w:rsidRPr="001B2481">
        <w:rPr>
          <w:rFonts w:ascii="Times New Roman" w:hAnsi="Times New Roman" w:cs="Times New Roman"/>
          <w:sz w:val="24"/>
          <w:szCs w:val="24"/>
          <w:lang w:val="it-IT"/>
        </w:rPr>
        <w:t>8</w:t>
      </w:r>
      <w:r w:rsidR="00C211A8" w:rsidRPr="001B248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86DAF" w:rsidRPr="001B2481">
        <w:rPr>
          <w:rFonts w:ascii="Times New Roman" w:hAnsi="Times New Roman" w:cs="Times New Roman"/>
          <w:sz w:val="24"/>
          <w:szCs w:val="24"/>
          <w:lang w:val="it-IT"/>
        </w:rPr>
        <w:t>gennaio 2025</w:t>
      </w:r>
    </w:p>
    <w:p w14:paraId="2D10794B" w14:textId="77777777" w:rsidR="00C40E31" w:rsidRPr="001B2481" w:rsidRDefault="006116CC" w:rsidP="001B248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B2481">
        <w:rPr>
          <w:rFonts w:ascii="Times New Roman" w:hAnsi="Times New Roman" w:cs="Times New Roman"/>
          <w:sz w:val="24"/>
          <w:szCs w:val="24"/>
          <w:lang w:val="it-IT"/>
        </w:rPr>
        <w:t xml:space="preserve">NB. All’esame ogni studente può presentarsi con degli schemi: uno schema, su foglio A 4, scritto a mano – da mostrare prima dell’esame –, per raccogliere le idee fondamentali sulla domanda corrispondente. Così, ogni studente può preparare lo schema del suo discorso per ciascuna delle domande. </w:t>
      </w:r>
    </w:p>
    <w:sectPr w:rsidR="00C40E31" w:rsidRPr="001B2481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71DAE"/>
    <w:multiLevelType w:val="hybridMultilevel"/>
    <w:tmpl w:val="E5B88A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C764A"/>
    <w:multiLevelType w:val="hybridMultilevel"/>
    <w:tmpl w:val="D924C0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5460A"/>
    <w:multiLevelType w:val="hybridMultilevel"/>
    <w:tmpl w:val="7EB44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031"/>
    <w:rsid w:val="00003699"/>
    <w:rsid w:val="00115891"/>
    <w:rsid w:val="001B2481"/>
    <w:rsid w:val="0021709F"/>
    <w:rsid w:val="003B6B17"/>
    <w:rsid w:val="003F687B"/>
    <w:rsid w:val="00491406"/>
    <w:rsid w:val="006116CC"/>
    <w:rsid w:val="00702031"/>
    <w:rsid w:val="00733C99"/>
    <w:rsid w:val="007428DA"/>
    <w:rsid w:val="00847A12"/>
    <w:rsid w:val="00857E34"/>
    <w:rsid w:val="008705B9"/>
    <w:rsid w:val="00913C0C"/>
    <w:rsid w:val="009219DC"/>
    <w:rsid w:val="00B07232"/>
    <w:rsid w:val="00B67C01"/>
    <w:rsid w:val="00B85304"/>
    <w:rsid w:val="00BC50B7"/>
    <w:rsid w:val="00C211A8"/>
    <w:rsid w:val="00C40E31"/>
    <w:rsid w:val="00D10448"/>
    <w:rsid w:val="00D762E7"/>
    <w:rsid w:val="00D86DAF"/>
    <w:rsid w:val="00E179B3"/>
    <w:rsid w:val="00E81794"/>
    <w:rsid w:val="00EE39A8"/>
    <w:rsid w:val="00EF4DD7"/>
    <w:rsid w:val="00F220C7"/>
    <w:rsid w:val="00F24B74"/>
    <w:rsid w:val="00FD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4579"/>
  <w15:docId w15:val="{3C16E96F-02B2-4134-91FB-0AD112DC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2031"/>
    <w:pPr>
      <w:ind w:left="720"/>
      <w:contextualSpacing/>
    </w:pPr>
  </w:style>
  <w:style w:type="paragraph" w:styleId="Nessunaspaziatura">
    <w:name w:val="No Spacing"/>
    <w:uiPriority w:val="1"/>
    <w:qFormat/>
    <w:rsid w:val="00C40E31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D86D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86DA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86DA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86D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86DA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6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6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Maurizio Chiodi</dc:creator>
  <cp:lastModifiedBy>Davide Bonazzoli</cp:lastModifiedBy>
  <cp:revision>4</cp:revision>
  <cp:lastPrinted>2021-12-29T12:36:00Z</cp:lastPrinted>
  <dcterms:created xsi:type="dcterms:W3CDTF">2025-01-08T09:06:00Z</dcterms:created>
  <dcterms:modified xsi:type="dcterms:W3CDTF">2025-01-08T09:58:00Z</dcterms:modified>
</cp:coreProperties>
</file>