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64A" w:rsidRPr="00F0116D" w:rsidRDefault="007D464A" w:rsidP="007D464A">
      <w:pPr>
        <w:pStyle w:val="Corpotesto"/>
        <w:jc w:val="center"/>
        <w:rPr>
          <w:sz w:val="24"/>
          <w:szCs w:val="24"/>
        </w:rPr>
      </w:pPr>
      <w:r w:rsidRPr="00F0116D">
        <w:rPr>
          <w:sz w:val="24"/>
          <w:szCs w:val="24"/>
        </w:rPr>
        <w:t>§ 2. L’</w:t>
      </w:r>
      <w:proofErr w:type="spellStart"/>
      <w:r w:rsidRPr="00F0116D">
        <w:rPr>
          <w:i/>
          <w:sz w:val="24"/>
          <w:szCs w:val="24"/>
        </w:rPr>
        <w:t>inclusivismo</w:t>
      </w:r>
      <w:proofErr w:type="spellEnd"/>
      <w:r w:rsidRPr="00F0116D">
        <w:rPr>
          <w:sz w:val="24"/>
          <w:szCs w:val="24"/>
        </w:rPr>
        <w:t xml:space="preserve">: ovvero </w:t>
      </w:r>
      <w:smartTag w:uri="urn:schemas-microsoft-com:office:smarttags" w:element="PersonName">
        <w:smartTagPr>
          <w:attr w:name="ProductID" w:val="La TdR"/>
        </w:smartTagPr>
        <w:r w:rsidRPr="00F0116D">
          <w:rPr>
            <w:sz w:val="24"/>
            <w:szCs w:val="24"/>
          </w:rPr>
          <w:t xml:space="preserve">la </w:t>
        </w:r>
        <w:proofErr w:type="spellStart"/>
        <w:r w:rsidRPr="00F0116D">
          <w:rPr>
            <w:sz w:val="24"/>
            <w:szCs w:val="24"/>
          </w:rPr>
          <w:t>TdR</w:t>
        </w:r>
      </w:smartTag>
      <w:proofErr w:type="spellEnd"/>
      <w:r w:rsidRPr="00F0116D">
        <w:rPr>
          <w:sz w:val="24"/>
          <w:szCs w:val="24"/>
        </w:rPr>
        <w:t xml:space="preserve"> nell’orizzonte del problema di un’</w:t>
      </w:r>
      <w:r w:rsidRPr="00F0116D">
        <w:rPr>
          <w:i/>
          <w:sz w:val="24"/>
          <w:szCs w:val="24"/>
        </w:rPr>
        <w:t>unica storia della salvezza</w:t>
      </w:r>
    </w:p>
    <w:p w:rsidR="007D464A" w:rsidRDefault="007D464A" w:rsidP="00DB1A3E">
      <w:pPr>
        <w:pStyle w:val="Corpotesto"/>
        <w:rPr>
          <w:sz w:val="24"/>
          <w:szCs w:val="24"/>
        </w:rPr>
      </w:pPr>
    </w:p>
    <w:p w:rsidR="00DB1A3E" w:rsidRDefault="00DB1A3E" w:rsidP="00DB1A3E">
      <w:pPr>
        <w:pStyle w:val="Corpotesto"/>
        <w:rPr>
          <w:sz w:val="24"/>
          <w:szCs w:val="24"/>
        </w:rPr>
      </w:pPr>
    </w:p>
    <w:p w:rsidR="00DB1A3E" w:rsidRDefault="00DB1A3E" w:rsidP="00DB1A3E">
      <w:pPr>
        <w:pStyle w:val="Corpotesto"/>
        <w:rPr>
          <w:sz w:val="24"/>
          <w:szCs w:val="24"/>
        </w:rPr>
      </w:pPr>
      <w:r>
        <w:rPr>
          <w:sz w:val="24"/>
          <w:szCs w:val="24"/>
        </w:rPr>
        <w:t xml:space="preserve">La nostra ipotesi di lavoro è che il modello </w:t>
      </w:r>
      <w:proofErr w:type="spellStart"/>
      <w:r>
        <w:rPr>
          <w:sz w:val="24"/>
          <w:szCs w:val="24"/>
        </w:rPr>
        <w:t>inclusivista</w:t>
      </w:r>
      <w:proofErr w:type="spellEnd"/>
      <w:r>
        <w:rPr>
          <w:sz w:val="24"/>
          <w:szCs w:val="24"/>
        </w:rPr>
        <w:t xml:space="preserve"> </w:t>
      </w:r>
      <w:r w:rsidR="00C5663C">
        <w:rPr>
          <w:sz w:val="24"/>
          <w:szCs w:val="24"/>
        </w:rPr>
        <w:t>sia</w:t>
      </w:r>
      <w:r>
        <w:rPr>
          <w:sz w:val="24"/>
          <w:szCs w:val="24"/>
        </w:rPr>
        <w:t xml:space="preserve"> caratterizzato dalla preoccupazione di mettere a tema la novità di Gesù Cristo all’interno di un’unica storia della salvezza, in cui l’iniziativa di Dio cerca ogni uomo in un dialogo di alleanza che culmina in Gesù Cristo, mediatore definitivo e insuperabile del donarsi di Dio nella risposta dell’uomo/figlio pienamente corrispondente. Ciò implica l’unità di origine e di fine della storia umana, sottratta alla dispersione e unificata dal venire di Dio che cerca la sua creatura.</w:t>
      </w:r>
    </w:p>
    <w:p w:rsidR="00DB1A3E" w:rsidRDefault="00DB1A3E" w:rsidP="00DB1A3E">
      <w:pPr>
        <w:pStyle w:val="Corpotesto"/>
        <w:rPr>
          <w:sz w:val="24"/>
          <w:szCs w:val="24"/>
        </w:rPr>
      </w:pPr>
      <w:r>
        <w:rPr>
          <w:sz w:val="24"/>
          <w:szCs w:val="24"/>
        </w:rPr>
        <w:t xml:space="preserve">Su questo sfondo comune, si possono identificare diverse forme di </w:t>
      </w:r>
      <w:proofErr w:type="spellStart"/>
      <w:r>
        <w:rPr>
          <w:sz w:val="24"/>
          <w:szCs w:val="24"/>
        </w:rPr>
        <w:t>inclusivismo</w:t>
      </w:r>
      <w:proofErr w:type="spellEnd"/>
      <w:r>
        <w:rPr>
          <w:sz w:val="24"/>
          <w:szCs w:val="24"/>
        </w:rPr>
        <w:t xml:space="preserve">, a seconda del principio di unità che viene individuato:  un’unità storico-salvifica nel mistero della Chiesa oppure l’unità trascendentale dell’orizzonte esistenziale dell’esperienza elevato per grazia o ancora l’unità della volontà salvifica di Dio, realizzata nel Verbo </w:t>
      </w:r>
      <w:r w:rsidRPr="00DB1A3E">
        <w:rPr>
          <w:i/>
          <w:sz w:val="24"/>
          <w:szCs w:val="24"/>
        </w:rPr>
        <w:t>a-</w:t>
      </w:r>
      <w:proofErr w:type="spellStart"/>
      <w:r w:rsidRPr="00DB1A3E">
        <w:rPr>
          <w:i/>
          <w:sz w:val="24"/>
          <w:szCs w:val="24"/>
        </w:rPr>
        <w:t>sarkòs</w:t>
      </w:r>
      <w:proofErr w:type="spellEnd"/>
      <w:r>
        <w:rPr>
          <w:sz w:val="24"/>
          <w:szCs w:val="24"/>
        </w:rPr>
        <w:t xml:space="preserve"> prima e poi </w:t>
      </w:r>
      <w:proofErr w:type="spellStart"/>
      <w:r w:rsidRPr="00DB1A3E">
        <w:rPr>
          <w:i/>
          <w:sz w:val="24"/>
          <w:szCs w:val="24"/>
        </w:rPr>
        <w:t>incarnandum</w:t>
      </w:r>
      <w:proofErr w:type="spellEnd"/>
      <w:r>
        <w:rPr>
          <w:sz w:val="24"/>
          <w:szCs w:val="24"/>
        </w:rPr>
        <w:t>, ma sempre sotto l’azione universale dello Spirito. Vediamo qualche esempio di queste tre possibili forme.</w:t>
      </w:r>
    </w:p>
    <w:p w:rsidR="00DB1A3E" w:rsidRDefault="00DB1A3E" w:rsidP="00DB1A3E">
      <w:pPr>
        <w:pStyle w:val="Corpotesto"/>
        <w:rPr>
          <w:sz w:val="24"/>
          <w:szCs w:val="24"/>
        </w:rPr>
      </w:pPr>
    </w:p>
    <w:p w:rsidR="007D464A" w:rsidRPr="00EB536C" w:rsidRDefault="007D464A" w:rsidP="007D464A">
      <w:pPr>
        <w:pStyle w:val="Corpotesto"/>
        <w:jc w:val="center"/>
        <w:rPr>
          <w:i/>
          <w:sz w:val="24"/>
          <w:szCs w:val="24"/>
        </w:rPr>
      </w:pPr>
      <w:r>
        <w:rPr>
          <w:sz w:val="24"/>
          <w:szCs w:val="24"/>
        </w:rPr>
        <w:t xml:space="preserve">2.1. </w:t>
      </w:r>
      <w:r w:rsidRPr="00EB536C">
        <w:rPr>
          <w:i/>
          <w:sz w:val="24"/>
          <w:szCs w:val="24"/>
        </w:rPr>
        <w:t>L’</w:t>
      </w:r>
      <w:proofErr w:type="spellStart"/>
      <w:r w:rsidRPr="00EB536C">
        <w:rPr>
          <w:i/>
          <w:sz w:val="24"/>
          <w:szCs w:val="24"/>
        </w:rPr>
        <w:t>inclusivismo</w:t>
      </w:r>
      <w:proofErr w:type="spellEnd"/>
      <w:r w:rsidRPr="00EB536C">
        <w:rPr>
          <w:i/>
          <w:sz w:val="24"/>
          <w:szCs w:val="24"/>
        </w:rPr>
        <w:t xml:space="preserve"> </w:t>
      </w:r>
      <w:proofErr w:type="spellStart"/>
      <w:r w:rsidRPr="00EB536C">
        <w:rPr>
          <w:i/>
          <w:sz w:val="24"/>
          <w:szCs w:val="24"/>
        </w:rPr>
        <w:t>ecclesiocentrico</w:t>
      </w:r>
      <w:proofErr w:type="spellEnd"/>
      <w:r w:rsidRPr="00EB536C">
        <w:rPr>
          <w:i/>
          <w:sz w:val="24"/>
          <w:szCs w:val="24"/>
        </w:rPr>
        <w:t xml:space="preserve"> di</w:t>
      </w:r>
      <w:r>
        <w:rPr>
          <w:i/>
          <w:sz w:val="24"/>
          <w:szCs w:val="24"/>
        </w:rPr>
        <w:t xml:space="preserve"> J. </w:t>
      </w:r>
      <w:proofErr w:type="spellStart"/>
      <w:r w:rsidRPr="00EB536C">
        <w:rPr>
          <w:i/>
          <w:sz w:val="24"/>
          <w:szCs w:val="24"/>
        </w:rPr>
        <w:t>Daniélou</w:t>
      </w:r>
      <w:proofErr w:type="spellEnd"/>
    </w:p>
    <w:p w:rsidR="007D464A" w:rsidRDefault="007D464A" w:rsidP="007D464A">
      <w:pPr>
        <w:pStyle w:val="Corpotesto"/>
        <w:rPr>
          <w:sz w:val="24"/>
          <w:szCs w:val="24"/>
        </w:rPr>
      </w:pPr>
    </w:p>
    <w:p w:rsidR="007D464A" w:rsidRDefault="007D464A" w:rsidP="007D464A">
      <w:pPr>
        <w:pStyle w:val="Corpotesto"/>
        <w:rPr>
          <w:sz w:val="24"/>
          <w:szCs w:val="24"/>
        </w:rPr>
      </w:pPr>
      <w:r w:rsidRPr="009E1F00">
        <w:rPr>
          <w:sz w:val="24"/>
          <w:szCs w:val="24"/>
        </w:rPr>
        <w:t>In questa visione le religioni corrispondono alle diverse alleanze succedutesi nella Scritt</w:t>
      </w:r>
      <w:r>
        <w:rPr>
          <w:sz w:val="24"/>
          <w:szCs w:val="24"/>
        </w:rPr>
        <w:t>ura (con Noè, Abramo, Mosè, Davide</w:t>
      </w:r>
      <w:r w:rsidRPr="009E1F00">
        <w:rPr>
          <w:sz w:val="24"/>
          <w:szCs w:val="24"/>
        </w:rPr>
        <w:t xml:space="preserve">) e come tali sono preparazione alla nuova ed eterna Alleanza, realizzata da Gesù Cristo. Proprio per questo sono provvisorie e non hanno un valore salvifico in sé e per sé, ma in funzione del compimento. Il problema del rapporto tra cristianesimo e religioni è quindi assunto ancora nel contesto della riflessione sul rapporto tra cristianesimo e storia umana universale. Nella prospettiva di una teologia della storia si possono distinguere tre tappe: la </w:t>
      </w:r>
      <w:r w:rsidRPr="009E1F00">
        <w:rPr>
          <w:i/>
          <w:sz w:val="24"/>
          <w:szCs w:val="24"/>
        </w:rPr>
        <w:t>religione cosmica</w:t>
      </w:r>
      <w:r w:rsidRPr="009E1F00">
        <w:rPr>
          <w:sz w:val="24"/>
          <w:szCs w:val="24"/>
        </w:rPr>
        <w:t xml:space="preserve">, corrispondente all’alleanza </w:t>
      </w:r>
      <w:proofErr w:type="spellStart"/>
      <w:r w:rsidRPr="009E1F00">
        <w:rPr>
          <w:sz w:val="24"/>
          <w:szCs w:val="24"/>
        </w:rPr>
        <w:t>noachica</w:t>
      </w:r>
      <w:proofErr w:type="spellEnd"/>
      <w:r w:rsidRPr="009E1F00">
        <w:rPr>
          <w:sz w:val="24"/>
          <w:szCs w:val="24"/>
        </w:rPr>
        <w:t>, in cui Dio si rivela nella sua azione c</w:t>
      </w:r>
      <w:r>
        <w:rPr>
          <w:sz w:val="24"/>
          <w:szCs w:val="24"/>
        </w:rPr>
        <w:t>reatrice</w:t>
      </w:r>
      <w:r w:rsidRPr="009E1F00">
        <w:rPr>
          <w:sz w:val="24"/>
          <w:szCs w:val="24"/>
        </w:rPr>
        <w:t xml:space="preserve"> e nell’appello alla coscienza; la </w:t>
      </w:r>
      <w:r w:rsidRPr="009E1F00">
        <w:rPr>
          <w:i/>
          <w:sz w:val="24"/>
          <w:szCs w:val="24"/>
        </w:rPr>
        <w:t>religione biblica</w:t>
      </w:r>
      <w:r w:rsidRPr="009E1F00">
        <w:rPr>
          <w:sz w:val="24"/>
          <w:szCs w:val="24"/>
        </w:rPr>
        <w:t xml:space="preserve">, corrispondente all’alleanza ebraica, da Abramo fino a Giovanni Battista; la </w:t>
      </w:r>
      <w:r w:rsidRPr="009E1F00">
        <w:rPr>
          <w:i/>
          <w:sz w:val="24"/>
          <w:szCs w:val="24"/>
        </w:rPr>
        <w:t>religione cristiana</w:t>
      </w:r>
      <w:r w:rsidRPr="009E1F00">
        <w:rPr>
          <w:sz w:val="24"/>
          <w:szCs w:val="24"/>
        </w:rPr>
        <w:t>, con la nuova Alleanza in Cristo e il tempo della Chiesa. Il processo si snoda lungo un storia scandita non da una pura successione cronologica, ma da un’alternanza drammatica, in cui il ritmo di promessa-compimento, preparazione-realizzazione, implica un superamento e una distruzione dell’alleanza precedente. C’è dunque continuità tra le religioni, ma anche discontinuità. Il compimento cristiano delle religioni ha la forma di un’assunzione e trasformazione, più che quella della coesistenza.</w:t>
      </w:r>
      <w:r>
        <w:rPr>
          <w:sz w:val="24"/>
          <w:szCs w:val="24"/>
        </w:rPr>
        <w:t xml:space="preserve"> </w:t>
      </w:r>
    </w:p>
    <w:p w:rsidR="007D464A" w:rsidRDefault="007D464A" w:rsidP="007D464A">
      <w:pPr>
        <w:jc w:val="both"/>
      </w:pPr>
      <w:r>
        <w:t xml:space="preserve">J. </w:t>
      </w:r>
      <w:proofErr w:type="spellStart"/>
      <w:r>
        <w:t>Daniélou</w:t>
      </w:r>
      <w:proofErr w:type="spellEnd"/>
      <w:r>
        <w:t xml:space="preserve"> è stato forse tra i primi teologi cattolici ad affrontare sistematicamente, dall’inizio degli anni quaranta fin quasi agli anni settanta, la questione della funzione salvifica delle religioni nell’opera divino-umana della salvezza. L’incidenza del suo pensiero, soprattutto in area francese, fu così profonda che si parlò di “tendenza </w:t>
      </w:r>
      <w:proofErr w:type="spellStart"/>
      <w:r>
        <w:t>Daniélou</w:t>
      </w:r>
      <w:proofErr w:type="spellEnd"/>
      <w:r>
        <w:t>”</w:t>
      </w:r>
      <w:r w:rsidRPr="007D3C0A">
        <w:rPr>
          <w:rStyle w:val="Rimandonotaapidipagina"/>
          <w:sz w:val="20"/>
          <w:szCs w:val="20"/>
        </w:rPr>
        <w:footnoteReference w:id="1"/>
      </w:r>
      <w:r>
        <w:t xml:space="preserve">. Innegabilmente la sua posizione influì sulla redazione dei testi del Vaticano II dedicati ai rapporti tra le religioni. </w:t>
      </w:r>
      <w:proofErr w:type="spellStart"/>
      <w:r>
        <w:t>Daniélou</w:t>
      </w:r>
      <w:proofErr w:type="spellEnd"/>
      <w:r>
        <w:t xml:space="preserve"> raggruppa le religioni in tre categorie: le religioni cosmiche (evita la connotazione negativa di “pagane”), che portano alla conoscenza di Dio mediante la sua manifestazione nella natura; le religioni bibliche, la cui fede si fonda su interventi salvifici speciali di Dio nella storia (giudaismo e islamismo); e le religioni cristiane, nel senso delle differenti confessioni, concentrate sul mistero di Gesù Cristo quale pienezza della manifestazione di Dio. Le religioni cosmiche non sono idolatriche, poiché si fondano sull’alleanza di Dio con Noè, definita dalla Scrittura «alleanza eterna e irrevocabile», e concernente l’umanità intera. Mediante quest’alleanza Dio diventa interlocutore dell’uomo con due caratteristiche: la sua fedeltà e il giudizio. Emerge insomma il volto di un Dio santo, la cui santità è incompatibile col peccato. L’alleanza con Noè assicura così l’incontro con Dio nei cicli cosmici della natura e nella coscienza dell’uomo. Scaturisce da qui la differenza fra le religioni cosmiche e la religione cristiana: «Le religioni naturali – ed è ciò che in esse è valido – attestano il movimento dell’uomo verso Dio che in Gesù Cristo viene ad afferrarlo per condurlo a sé… Dunque la differenza essenziale tra il cattolicesimo e tutte le altre religioni è che le altre partono dall’uomo e </w:t>
      </w:r>
      <w:r>
        <w:lastRenderedPageBreak/>
        <w:t>sono un tentativo assai commovente e a volte bellissimo, che si eleva molto in alto per trovare Dio, ma è nel cattolicesimo che c’è il movimento inverso, questa discesa di Dio verso il mondo per portargli la comunicazione della sua vita. La risposta all’aspirazione dell’universo intero è nella religione giudeo-cristiana. La vera religione, la religione cattolica, è quella costituita da questi due elementi, quella in cui alla chiamata dell’uomo ha risposto la grazia di Dio. Altrove non c’è la salvezza, non c’è Cristo, non c’è dono di Dio» (</w:t>
      </w:r>
      <w:r>
        <w:rPr>
          <w:i/>
          <w:iCs/>
        </w:rPr>
        <w:t xml:space="preserve">Le </w:t>
      </w:r>
      <w:proofErr w:type="spellStart"/>
      <w:r>
        <w:rPr>
          <w:i/>
          <w:iCs/>
        </w:rPr>
        <w:t>mystère</w:t>
      </w:r>
      <w:proofErr w:type="spellEnd"/>
      <w:r>
        <w:rPr>
          <w:i/>
          <w:iCs/>
        </w:rPr>
        <w:t xml:space="preserve"> </w:t>
      </w:r>
      <w:proofErr w:type="spellStart"/>
      <w:r>
        <w:rPr>
          <w:i/>
          <w:iCs/>
        </w:rPr>
        <w:t>du</w:t>
      </w:r>
      <w:proofErr w:type="spellEnd"/>
      <w:r>
        <w:rPr>
          <w:i/>
          <w:iCs/>
        </w:rPr>
        <w:t xml:space="preserve"> </w:t>
      </w:r>
      <w:proofErr w:type="spellStart"/>
      <w:r>
        <w:rPr>
          <w:i/>
          <w:iCs/>
        </w:rPr>
        <w:t>salut</w:t>
      </w:r>
      <w:proofErr w:type="spellEnd"/>
      <w:r>
        <w:rPr>
          <w:i/>
          <w:iCs/>
        </w:rPr>
        <w:t xml:space="preserve"> </w:t>
      </w:r>
      <w:proofErr w:type="spellStart"/>
      <w:r>
        <w:rPr>
          <w:i/>
          <w:iCs/>
        </w:rPr>
        <w:t>des</w:t>
      </w:r>
      <w:proofErr w:type="spellEnd"/>
      <w:r>
        <w:rPr>
          <w:i/>
          <w:iCs/>
        </w:rPr>
        <w:t xml:space="preserve"> </w:t>
      </w:r>
      <w:proofErr w:type="spellStart"/>
      <w:r>
        <w:rPr>
          <w:i/>
          <w:iCs/>
        </w:rPr>
        <w:t>nations</w:t>
      </w:r>
      <w:proofErr w:type="spellEnd"/>
      <w:r>
        <w:t xml:space="preserve">, Paris, 1951, 17-18). Con le religioni cosmiche o naturali l’uomo impara a conoscere Dio con l’intelligenza e a coltivarne la presenza nell’interiorità, e impara a rispondere a Dio con l’amore e la fedeltà. Tale forma dell’esperienza religiosa è già risposta a una manifestazione di Dio universale, che si attua nella creazione. Ma tale risposta e ancora fragile e incerta e conduce a gesti di adorazione inadeguati e idolatrici, come sottolinea Paolo nella lettera ai Romani. La ricerca di Dio espressa in tali religioni, come anche la germinale risposta alla sua manifestazione cosmica, trovano il loro compimento proprio nell’apparizione di Cristo e nella fede cristiana. Tale apparizione costituisce però anche una </w:t>
      </w:r>
      <w:r>
        <w:rPr>
          <w:i/>
          <w:iCs/>
        </w:rPr>
        <w:t>novità assoluta</w:t>
      </w:r>
      <w:r>
        <w:t xml:space="preserve"> rispetto alle religioni precedenti, poiché si tratta di un dono dall’alto, di una parola che Dio stesso rivolge all’uomo per introdurlo alla sua stessa vita. In Cristo è Dio stesso che dice all’uomo come rispondere al suo mistero che interpella nella natura e nella coscienza. Si tratta di una risposta fondata su una grazia nuova, più elevata, che introduce nella vita stessa di Dio e permette di superare la </w:t>
      </w:r>
      <w:proofErr w:type="spellStart"/>
      <w:r>
        <w:t>sciavitù</w:t>
      </w:r>
      <w:proofErr w:type="spellEnd"/>
      <w:r>
        <w:t xml:space="preserve"> del peccato. Rispetto al cristianesimo quindi le altre religioni sono semplice «preparazione», segnali d’attesa e talvolta, per il peccato originale, pietre d’inciampo. Aprono il desiderio dell’uomo all’incontro con Dio, finché in Cristo non ricevono la risposta decisiva che viene da Dio. </w:t>
      </w:r>
    </w:p>
    <w:p w:rsidR="007D464A" w:rsidRDefault="007D464A" w:rsidP="007D464A">
      <w:pPr>
        <w:pStyle w:val="Corpotesto"/>
        <w:rPr>
          <w:sz w:val="24"/>
          <w:szCs w:val="24"/>
        </w:rPr>
      </w:pPr>
    </w:p>
    <w:p w:rsidR="007D464A" w:rsidRDefault="007D464A" w:rsidP="007D464A">
      <w:pPr>
        <w:pStyle w:val="Corpotesto"/>
        <w:jc w:val="center"/>
        <w:rPr>
          <w:sz w:val="24"/>
          <w:szCs w:val="24"/>
        </w:rPr>
      </w:pPr>
      <w:r>
        <w:rPr>
          <w:sz w:val="24"/>
          <w:szCs w:val="24"/>
        </w:rPr>
        <w:t xml:space="preserve">2.2. </w:t>
      </w:r>
      <w:r w:rsidRPr="005807F6">
        <w:rPr>
          <w:i/>
          <w:sz w:val="24"/>
          <w:szCs w:val="24"/>
        </w:rPr>
        <w:t>La pro</w:t>
      </w:r>
      <w:r>
        <w:rPr>
          <w:i/>
          <w:sz w:val="24"/>
          <w:szCs w:val="24"/>
        </w:rPr>
        <w:t>posta</w:t>
      </w:r>
      <w:r w:rsidRPr="005807F6">
        <w:rPr>
          <w:i/>
          <w:sz w:val="24"/>
          <w:szCs w:val="24"/>
        </w:rPr>
        <w:t xml:space="preserve"> storico-salvifica della </w:t>
      </w:r>
      <w:r>
        <w:rPr>
          <w:i/>
          <w:sz w:val="24"/>
          <w:szCs w:val="24"/>
        </w:rPr>
        <w:t>teologia</w:t>
      </w:r>
      <w:r w:rsidRPr="005807F6">
        <w:rPr>
          <w:i/>
          <w:sz w:val="24"/>
          <w:szCs w:val="24"/>
        </w:rPr>
        <w:t xml:space="preserve"> trascendentale</w:t>
      </w:r>
    </w:p>
    <w:p w:rsidR="007D464A" w:rsidRPr="009E1F00" w:rsidRDefault="007D464A" w:rsidP="007D464A">
      <w:pPr>
        <w:pStyle w:val="Corpotesto"/>
        <w:rPr>
          <w:sz w:val="24"/>
          <w:szCs w:val="24"/>
        </w:rPr>
      </w:pPr>
    </w:p>
    <w:p w:rsidR="007D464A" w:rsidRPr="009E1F00" w:rsidRDefault="007D464A" w:rsidP="007D464A">
      <w:pPr>
        <w:pStyle w:val="Corpotesto"/>
        <w:rPr>
          <w:sz w:val="24"/>
          <w:szCs w:val="24"/>
        </w:rPr>
      </w:pPr>
      <w:r>
        <w:rPr>
          <w:sz w:val="24"/>
          <w:szCs w:val="24"/>
        </w:rPr>
        <w:t>I</w:t>
      </w:r>
      <w:r w:rsidRPr="009E1F00">
        <w:rPr>
          <w:sz w:val="24"/>
          <w:szCs w:val="24"/>
        </w:rPr>
        <w:t xml:space="preserve">l problema chiave di questa linea teologica nel pensare al rapporto tra cristianesimo e religioni è quello della </w:t>
      </w:r>
      <w:r w:rsidRPr="009E1F00">
        <w:rPr>
          <w:i/>
          <w:sz w:val="24"/>
          <w:szCs w:val="24"/>
        </w:rPr>
        <w:t>continuità-novità</w:t>
      </w:r>
      <w:r w:rsidRPr="009E1F00">
        <w:rPr>
          <w:sz w:val="24"/>
          <w:szCs w:val="24"/>
        </w:rPr>
        <w:t xml:space="preserve"> in una prospettiva storico-salvifica.</w:t>
      </w:r>
      <w:r>
        <w:rPr>
          <w:sz w:val="24"/>
          <w:szCs w:val="24"/>
        </w:rPr>
        <w:t xml:space="preserve"> </w:t>
      </w:r>
      <w:r w:rsidRPr="009E1F00">
        <w:rPr>
          <w:sz w:val="24"/>
          <w:szCs w:val="24"/>
        </w:rPr>
        <w:t xml:space="preserve">L’istanza di questa linea di pensiero è meno l’intuizione sui “cristiani anonimi”, quanto l’idea che </w:t>
      </w:r>
      <w:r w:rsidRPr="004D3158">
        <w:rPr>
          <w:i/>
          <w:sz w:val="24"/>
          <w:szCs w:val="24"/>
        </w:rPr>
        <w:t>la continuità</w:t>
      </w:r>
      <w:r w:rsidRPr="009E1F00">
        <w:rPr>
          <w:sz w:val="24"/>
          <w:szCs w:val="24"/>
        </w:rPr>
        <w:t xml:space="preserve"> </w:t>
      </w:r>
      <w:r>
        <w:rPr>
          <w:sz w:val="24"/>
          <w:szCs w:val="24"/>
        </w:rPr>
        <w:t xml:space="preserve">della storia della salvezza </w:t>
      </w:r>
      <w:r w:rsidRPr="009E1F00">
        <w:rPr>
          <w:sz w:val="24"/>
          <w:szCs w:val="24"/>
        </w:rPr>
        <w:t xml:space="preserve">non possa essere colta se non in </w:t>
      </w:r>
      <w:r w:rsidRPr="009E1F00">
        <w:rPr>
          <w:i/>
          <w:sz w:val="24"/>
          <w:szCs w:val="24"/>
        </w:rPr>
        <w:t>prospettiva trascendentale</w:t>
      </w:r>
      <w:r w:rsidRPr="009E1F00">
        <w:rPr>
          <w:sz w:val="24"/>
          <w:szCs w:val="24"/>
        </w:rPr>
        <w:t>. Per comprendere l’unità della storia della salvezza nella tensione di co</w:t>
      </w:r>
      <w:r w:rsidR="00C5663C">
        <w:rPr>
          <w:sz w:val="24"/>
          <w:szCs w:val="24"/>
        </w:rPr>
        <w:t>n</w:t>
      </w:r>
      <w:r w:rsidRPr="009E1F00">
        <w:rPr>
          <w:sz w:val="24"/>
          <w:szCs w:val="24"/>
        </w:rPr>
        <w:t>tinuità-novità bisogna dunque affidarsi alla teologia trascendentale</w:t>
      </w:r>
      <w:r w:rsidRPr="007D3C0A">
        <w:rPr>
          <w:rStyle w:val="Rimandonotaapidipagina"/>
          <w:sz w:val="20"/>
        </w:rPr>
        <w:footnoteReference w:id="2"/>
      </w:r>
      <w:r w:rsidRPr="009E1F00">
        <w:rPr>
          <w:sz w:val="24"/>
          <w:szCs w:val="24"/>
        </w:rPr>
        <w:t xml:space="preserve">. In termini generalissimi si potrebbe raccogliere il contributo di questa linea di pensiero attorno alla distinzione tra una </w:t>
      </w:r>
      <w:r w:rsidRPr="009E1F00">
        <w:rPr>
          <w:i/>
          <w:iCs/>
          <w:sz w:val="24"/>
          <w:szCs w:val="24"/>
        </w:rPr>
        <w:t>storia della salvezza e rivelazione generale</w:t>
      </w:r>
      <w:r w:rsidRPr="009E1F00">
        <w:rPr>
          <w:sz w:val="24"/>
          <w:szCs w:val="24"/>
        </w:rPr>
        <w:t xml:space="preserve">, che rimanda alla volontà salvifica efficace e universale di Dio e che consiste nell’elevazione dell’orizzonte trascendentale dello spirito a un nuovo contatto con Dio, e una </w:t>
      </w:r>
      <w:r w:rsidRPr="009E1F00">
        <w:rPr>
          <w:i/>
          <w:iCs/>
          <w:sz w:val="24"/>
          <w:szCs w:val="24"/>
        </w:rPr>
        <w:t>storia della salvezza e rivelazione speciale</w:t>
      </w:r>
      <w:r w:rsidRPr="009E1F00">
        <w:rPr>
          <w:sz w:val="24"/>
          <w:szCs w:val="24"/>
        </w:rPr>
        <w:t>, in cui quest’auto</w:t>
      </w:r>
      <w:r w:rsidR="00C5663C">
        <w:rPr>
          <w:sz w:val="24"/>
          <w:szCs w:val="24"/>
        </w:rPr>
        <w:t>-</w:t>
      </w:r>
      <w:r w:rsidRPr="009E1F00">
        <w:rPr>
          <w:sz w:val="24"/>
          <w:szCs w:val="24"/>
        </w:rPr>
        <w:t>comunicazione trascendentale di Dio al dinamismo dello spirito umano riceve nella sua mediazione storico-categoriale l’interpretazione autorizzata da Dio stesso e quindi la sua piena e riuscita mediazione storico-salvifica. Qui l’auto</w:t>
      </w:r>
      <w:r w:rsidR="00C5663C">
        <w:rPr>
          <w:sz w:val="24"/>
          <w:szCs w:val="24"/>
        </w:rPr>
        <w:t>-</w:t>
      </w:r>
      <w:r w:rsidRPr="009E1F00">
        <w:rPr>
          <w:sz w:val="24"/>
          <w:szCs w:val="24"/>
        </w:rPr>
        <w:t>comunicazione di Dio trova la sua realizzazione perfetta. Anche la prima è una storia della rivelazione, poiché quell’elevazione trascendentale è sempre accompagnata da un’auto</w:t>
      </w:r>
      <w:r>
        <w:rPr>
          <w:sz w:val="24"/>
          <w:szCs w:val="24"/>
        </w:rPr>
        <w:t>-</w:t>
      </w:r>
      <w:r w:rsidRPr="009E1F00">
        <w:rPr>
          <w:sz w:val="24"/>
          <w:szCs w:val="24"/>
        </w:rPr>
        <w:t xml:space="preserve">interpretazione connessa all’atto personale dell’uomo e alla sua esperienza storica concreta (religiosa o meno). Ma solo nella seconda </w:t>
      </w:r>
      <w:r w:rsidRPr="004D3158">
        <w:rPr>
          <w:i/>
          <w:sz w:val="24"/>
          <w:szCs w:val="24"/>
        </w:rPr>
        <w:t>la mediazione storica e categoriale, pur essendo parziale rispetto all’orizzonte trascendentale dell’esperienza, è colta come auto-interpretazione offerta da Dio stesso</w:t>
      </w:r>
      <w:r w:rsidRPr="009E1F00">
        <w:rPr>
          <w:sz w:val="24"/>
          <w:szCs w:val="24"/>
        </w:rPr>
        <w:t xml:space="preserve"> e quindi dotata di un’autorità e definitività insuperabili. In essa lo spirito uman</w:t>
      </w:r>
      <w:r>
        <w:rPr>
          <w:sz w:val="24"/>
          <w:szCs w:val="24"/>
        </w:rPr>
        <w:t xml:space="preserve">o elevato partecipa al donarsi </w:t>
      </w:r>
      <w:r w:rsidRPr="009E1F00">
        <w:rPr>
          <w:sz w:val="24"/>
          <w:szCs w:val="24"/>
        </w:rPr>
        <w:t>di Dio stesso, mentre coglie il senso del suo dono. Nella Parola che interpreta l’elevazione</w:t>
      </w:r>
      <w:r>
        <w:rPr>
          <w:sz w:val="24"/>
          <w:szCs w:val="24"/>
        </w:rPr>
        <w:t>,</w:t>
      </w:r>
      <w:r w:rsidRPr="009E1F00">
        <w:rPr>
          <w:sz w:val="24"/>
          <w:szCs w:val="24"/>
        </w:rPr>
        <w:t xml:space="preserve"> l’uomo </w:t>
      </w:r>
      <w:r w:rsidRPr="009E1F00">
        <w:rPr>
          <w:sz w:val="24"/>
          <w:szCs w:val="24"/>
        </w:rPr>
        <w:lastRenderedPageBreak/>
        <w:t>partecipa dello Spirito divino, venendo così inserito nella relazione del Padre col Verbo, ossia nell’auto</w:t>
      </w:r>
      <w:r w:rsidR="00C5663C">
        <w:rPr>
          <w:sz w:val="24"/>
          <w:szCs w:val="24"/>
        </w:rPr>
        <w:t>-</w:t>
      </w:r>
      <w:r w:rsidRPr="009E1F00">
        <w:rPr>
          <w:sz w:val="24"/>
          <w:szCs w:val="24"/>
        </w:rPr>
        <w:t xml:space="preserve">comunicazione che è Dio. Il guadagno di questa impostazione riguarda l’interpretazione della </w:t>
      </w:r>
      <w:r w:rsidRPr="0050336F">
        <w:rPr>
          <w:i/>
          <w:sz w:val="24"/>
          <w:szCs w:val="24"/>
        </w:rPr>
        <w:t>continuità nella novità</w:t>
      </w:r>
      <w:r w:rsidRPr="009E1F00">
        <w:rPr>
          <w:sz w:val="24"/>
          <w:szCs w:val="24"/>
        </w:rPr>
        <w:t xml:space="preserve"> che fa l’unità della storia della salvezza. Tale continuità rimanda al dono originario dell’elevazione trascendentale dello spirito, che si fonda nella volontà salvifica universale di Dio, la cui piena manifestazione e realizzazione, però, si dà nella mediazione storica del Salvatore assoluto. Rispetto a questo compimento ogni altra mediazione è parziale e provvisoria, poiché si tratta di un’interpretazione autentica, ma nella quale non è Dio stesso a interpretare il suo dono. </w:t>
      </w:r>
      <w:r w:rsidRPr="009E1F00">
        <w:rPr>
          <w:i/>
          <w:iCs/>
          <w:sz w:val="24"/>
          <w:szCs w:val="24"/>
        </w:rPr>
        <w:t>La tensione di essenza e storia, continuità e novità viene risolta nel Mediatore</w:t>
      </w:r>
      <w:r w:rsidRPr="009E1F00">
        <w:rPr>
          <w:sz w:val="24"/>
          <w:szCs w:val="24"/>
        </w:rPr>
        <w:t xml:space="preserve">, la cui costituzione rimanda all’unità della storia della salvezza colta nel suo dono originario e quindi finale. L’unità della storia della salvezza rimanda al problema del Mediatore definitivo e la continuità nella novità chiede di indagare la struttura del Mediatore. </w:t>
      </w:r>
    </w:p>
    <w:p w:rsidR="007D464A" w:rsidRDefault="007D464A" w:rsidP="007D464A">
      <w:pPr>
        <w:pStyle w:val="Corpotesto"/>
        <w:rPr>
          <w:sz w:val="24"/>
        </w:rPr>
      </w:pPr>
      <w:r>
        <w:rPr>
          <w:sz w:val="24"/>
        </w:rPr>
        <w:t>Ma riprendiamo più analiticamente il contributo della teologia trascendentale al nostro problema, soffermandoci sulla questione dell’unità della storia della salvezza e del rapporto tra le sue fasi.</w:t>
      </w:r>
    </w:p>
    <w:p w:rsidR="007D464A" w:rsidRDefault="007D464A" w:rsidP="007D464A">
      <w:pPr>
        <w:pStyle w:val="Corpotesto"/>
        <w:rPr>
          <w:sz w:val="24"/>
        </w:rPr>
      </w:pPr>
    </w:p>
    <w:p w:rsidR="007D464A" w:rsidRDefault="007D464A" w:rsidP="007D464A">
      <w:pPr>
        <w:pStyle w:val="Corpotesto"/>
        <w:rPr>
          <w:sz w:val="24"/>
        </w:rPr>
      </w:pPr>
      <w:r>
        <w:rPr>
          <w:sz w:val="24"/>
        </w:rPr>
        <w:t xml:space="preserve">(a) </w:t>
      </w:r>
      <w:r>
        <w:rPr>
          <w:i/>
          <w:iCs/>
          <w:sz w:val="24"/>
        </w:rPr>
        <w:t>L’unità della storia della salvezza: l’origine dal suo fine</w:t>
      </w:r>
    </w:p>
    <w:p w:rsidR="007D464A" w:rsidRDefault="007D464A" w:rsidP="007D464A">
      <w:pPr>
        <w:pStyle w:val="Corpotesto"/>
        <w:rPr>
          <w:sz w:val="24"/>
        </w:rPr>
      </w:pPr>
    </w:p>
    <w:p w:rsidR="007D464A" w:rsidRDefault="007D464A" w:rsidP="007D464A">
      <w:pPr>
        <w:pStyle w:val="Corpotesto"/>
        <w:rPr>
          <w:sz w:val="24"/>
        </w:rPr>
      </w:pPr>
      <w:r>
        <w:rPr>
          <w:sz w:val="24"/>
        </w:rPr>
        <w:t>Ciò che propriamente e nella sua essenza è storia della salvezza, in ultima analisi si può determinare soltanto dal suo fine, perché e in quanto questo fine ne è anche la causa. E in base a questo fine tutti gli stadi precedenti possono essere intesi come inizio, come modi provvisori o preparazioni. Tale considerazione suppone che questa storia della salvezza sia un’</w:t>
      </w:r>
      <w:r>
        <w:rPr>
          <w:i/>
          <w:iCs/>
          <w:sz w:val="24"/>
        </w:rPr>
        <w:t>unica storia</w:t>
      </w:r>
      <w:r>
        <w:rPr>
          <w:sz w:val="24"/>
        </w:rPr>
        <w:t xml:space="preserve"> salvifica</w:t>
      </w:r>
      <w:r w:rsidRPr="007D3C0A">
        <w:rPr>
          <w:rStyle w:val="Rimandonotaapidipagina"/>
          <w:sz w:val="20"/>
        </w:rPr>
        <w:footnoteReference w:id="3"/>
      </w:r>
      <w:r>
        <w:rPr>
          <w:sz w:val="24"/>
        </w:rPr>
        <w:t>. La rivelazione, che appartiene a questa storia della salvezza, è dunque un processo unitario unico, la cui vera essenza non si manifesta allo stesso modo in ciascun periodo di questo processo unico, ma si svela nel vertice e fine di tutto questo evento, in Gesù Cristo. Rispetto all’evento in cui si compie, le fasi anteriori della storia della salvezza devono essere concepite appunto</w:t>
      </w:r>
      <w:r>
        <w:rPr>
          <w:i/>
          <w:iCs/>
          <w:sz w:val="24"/>
        </w:rPr>
        <w:t xml:space="preserve"> come</w:t>
      </w:r>
      <w:r>
        <w:rPr>
          <w:sz w:val="24"/>
        </w:rPr>
        <w:t xml:space="preserve"> fasi dell’unica storia, che in Gesù Cristo giunge al suo culmine. Sarebbe contrario a una simile visione concepire queste fasi come procedenti appunto dall’unico Dio ma al modo di organizzazioni salvifiche che si succedono nel tempo in modo che intrinsecamente e oggettivamente non abbiano nulla a che fare tra di loro. Si tratta piuttosto di fasi reali, che per il loro stesso dinamismo vogliono annullarsi ciascuna nella fase seguente. E’ un’altra questione verificare quanto ciò sia apparso chiaro ai singoli periodi. Ma in base a Gesù Cristo e al periodo salvifico cristiano, definitivo, escatologico, tutti i periodi precedenti si rivelano come momenti e fasi dell’unica storia della salvezza, che in tutto il suo dinamismo interno, guidato da Dio, porta a questo evento Gesù Cristo.</w:t>
      </w:r>
    </w:p>
    <w:p w:rsidR="007D464A" w:rsidRDefault="007D464A" w:rsidP="007D464A">
      <w:pPr>
        <w:ind w:left="170" w:right="113"/>
        <w:jc w:val="both"/>
        <w:rPr>
          <w:sz w:val="22"/>
        </w:rPr>
      </w:pPr>
    </w:p>
    <w:p w:rsidR="007D464A" w:rsidRDefault="007D464A" w:rsidP="007D464A">
      <w:pPr>
        <w:ind w:left="170" w:right="113"/>
        <w:jc w:val="both"/>
        <w:rPr>
          <w:sz w:val="22"/>
        </w:rPr>
      </w:pPr>
      <w:r w:rsidRPr="0050336F">
        <w:rPr>
          <w:sz w:val="22"/>
        </w:rPr>
        <w:t>Le fasi anteriori della storia della salvezza</w:t>
      </w:r>
      <w:r>
        <w:rPr>
          <w:sz w:val="22"/>
        </w:rPr>
        <w:t>…</w:t>
      </w:r>
      <w:r w:rsidRPr="0050336F">
        <w:rPr>
          <w:sz w:val="22"/>
        </w:rPr>
        <w:t xml:space="preserve"> si devono intendere essenzialmente come fasi preparatorie dell’unica ed identica storia della salvezza totale, che in Gesù Cristo raggiunge la sua vera essenza e il suo vero fine. E’ falso separare, per così dire nel pensiero i precedenti periodi della rivelazione dall’unica storia della salvezza totale, considerarli a sé, analizzarli in sé, nella loro essenza, e poi sviluppare un concetto di rivelazione che sia inteso come realizzato ripetutamente in modo univoco ed identico nei singoli periodi. […] Appunto se concepiamo la storia della salvezza e della rivelazione… come </w:t>
      </w:r>
      <w:r w:rsidRPr="0050336F">
        <w:rPr>
          <w:i/>
          <w:iCs/>
          <w:sz w:val="22"/>
        </w:rPr>
        <w:t>una sola</w:t>
      </w:r>
      <w:r w:rsidRPr="0050336F">
        <w:rPr>
          <w:sz w:val="22"/>
        </w:rPr>
        <w:t xml:space="preserve"> storia, che è sostenuta, formata e guidata da un’ultima intenzione divina, allora in ciascuna parte di quest’unica storia deve essere anche percepibile realmente il piano salvifico e la volontà divina. Conseguentemente a buon diritto in ciascuna fase ed in ciascun periodo dell’unica e totale storia della salvezza si può vedere in azione e realizzata l’unica essenza di questa storia. Sarebbe tuttavia falso passare di qui alla concezione aristotelica secondo cui ciascuna di queste frazioni dell’unica storia può concepirsi come un’essenza per sé, in cui l’unica e identica essenza è ripetute volte presente. Se si immaginasse in tal modo, l’unica storia della salvezza, della rivelazione e della grazia verrebbe frazionata in molte storie salvifiche particolari, che avrebbero in comune la stessa essenza, senza costituire tra loro un’unica storia della salvezza. Ma se si tratta di fasi che costituiscono </w:t>
      </w:r>
      <w:r w:rsidRPr="0050336F">
        <w:rPr>
          <w:i/>
          <w:iCs/>
          <w:sz w:val="22"/>
        </w:rPr>
        <w:t>una sola</w:t>
      </w:r>
      <w:r w:rsidRPr="0050336F">
        <w:rPr>
          <w:sz w:val="22"/>
        </w:rPr>
        <w:t xml:space="preserve"> storia della salvezza, ne risulta che l’unico concetto, in fondo realizzato una volta sola, di storia della salvezza, viene realizzato attraverso tutto questo tempo e la singola fase come tale esiste solo nella partecipazione a quest’unica </w:t>
      </w:r>
      <w:r w:rsidRPr="0050336F">
        <w:rPr>
          <w:sz w:val="22"/>
        </w:rPr>
        <w:lastRenderedPageBreak/>
        <w:t>storia della salvezza, della grazia, della rivelazione. Ogni singola fase è tale solo nell’ambito del complesso, e la vera essenza di un periodo antecedente diviene visibile soltanto nella piena apparizione, nella raggiunta pienezza dell’essenza, nella fase suprema, insuperabile dell’unica storia. La storia della salvezza è una sola attraverso tutti i suoi periodi</w:t>
      </w:r>
      <w:r w:rsidRPr="007D3C0A">
        <w:rPr>
          <w:rStyle w:val="Rimandonotaapidipagina"/>
          <w:sz w:val="20"/>
          <w:szCs w:val="20"/>
        </w:rPr>
        <w:footnoteReference w:id="4"/>
      </w:r>
      <w:r w:rsidRPr="0050336F">
        <w:rPr>
          <w:sz w:val="22"/>
        </w:rPr>
        <w:t xml:space="preserve">. </w:t>
      </w:r>
    </w:p>
    <w:p w:rsidR="007D464A" w:rsidRPr="0050336F" w:rsidRDefault="007D464A" w:rsidP="007D464A">
      <w:pPr>
        <w:ind w:left="170" w:right="113"/>
        <w:jc w:val="both"/>
        <w:rPr>
          <w:sz w:val="22"/>
        </w:rPr>
      </w:pPr>
    </w:p>
    <w:p w:rsidR="007D464A" w:rsidRDefault="007D464A" w:rsidP="007D464A">
      <w:pPr>
        <w:pStyle w:val="Corpotesto"/>
        <w:rPr>
          <w:sz w:val="24"/>
        </w:rPr>
      </w:pPr>
      <w:r>
        <w:rPr>
          <w:sz w:val="24"/>
        </w:rPr>
        <w:t>In una nota l’autore precisa cosa intende dire con un esempio eloquente: «Anche il bambino è già uomo, e quindi in lui è realizzata l’essenza dell’essere umano. Ma il bambino esiste per diventare un uomo adulto. E ciò che Dio ha inteso quando ha realizzato questa essenza dell’uomo, non è l’uomo in quanto bambino, bensì l’uomo maturo che ha la sua storia di libertà. E quest’essenza è voluta da Dio perché egli vuole la storia completa di quest’uomo. Soltanto in questa sua realizzazione storica l’essenza stessa esiste nella sua totalità. In quanto iniziale, essa è inizio dell’essenza, e perciò qui si può dire che questa essenza già esista solo in senso astratto, formale»</w:t>
      </w:r>
      <w:r w:rsidRPr="007D3C0A">
        <w:rPr>
          <w:rStyle w:val="Rimandonotaapidipagina"/>
          <w:sz w:val="20"/>
        </w:rPr>
        <w:footnoteReference w:id="5"/>
      </w:r>
      <w:r>
        <w:rPr>
          <w:sz w:val="24"/>
        </w:rPr>
        <w:t xml:space="preserve">. L’esempio è tanto più significativo se si tiene conto dell’analogia del «pedagogo» applicata alla Legge dell’antica alleanza da Paolo rispetto al </w:t>
      </w:r>
      <w:proofErr w:type="spellStart"/>
      <w:r>
        <w:rPr>
          <w:i/>
          <w:iCs/>
          <w:sz w:val="24"/>
        </w:rPr>
        <w:t>kairòs</w:t>
      </w:r>
      <w:proofErr w:type="spellEnd"/>
      <w:r>
        <w:rPr>
          <w:sz w:val="24"/>
        </w:rPr>
        <w:t xml:space="preserve"> filiale della fede (Galati 3-4). </w:t>
      </w:r>
    </w:p>
    <w:p w:rsidR="007D464A" w:rsidRDefault="007D464A" w:rsidP="007D464A">
      <w:pPr>
        <w:pStyle w:val="Corpotesto"/>
        <w:rPr>
          <w:sz w:val="24"/>
        </w:rPr>
      </w:pPr>
    </w:p>
    <w:p w:rsidR="007D464A" w:rsidRDefault="007D464A" w:rsidP="007D464A">
      <w:pPr>
        <w:pStyle w:val="Corpotesto"/>
        <w:rPr>
          <w:sz w:val="24"/>
        </w:rPr>
      </w:pPr>
      <w:r>
        <w:rPr>
          <w:sz w:val="24"/>
        </w:rPr>
        <w:t xml:space="preserve">(b) </w:t>
      </w:r>
      <w:r>
        <w:rPr>
          <w:i/>
          <w:iCs/>
          <w:sz w:val="24"/>
        </w:rPr>
        <w:t>L’unità di origine e fine della storia della salvezza nell’evento mediatore</w:t>
      </w:r>
    </w:p>
    <w:p w:rsidR="007D464A" w:rsidRDefault="007D464A" w:rsidP="007D464A">
      <w:pPr>
        <w:pStyle w:val="Corpotesto"/>
        <w:rPr>
          <w:sz w:val="24"/>
        </w:rPr>
      </w:pPr>
    </w:p>
    <w:p w:rsidR="007D464A" w:rsidRDefault="007D464A" w:rsidP="007D464A">
      <w:pPr>
        <w:pStyle w:val="Corpotesto"/>
        <w:rPr>
          <w:sz w:val="24"/>
        </w:rPr>
      </w:pPr>
      <w:r>
        <w:rPr>
          <w:sz w:val="24"/>
        </w:rPr>
        <w:t>In base a quanto detto è naturale che a fondamento della teologia della storia della salvezza si possa porre soltanto il suo fine. Col termine “fine” si intende l’ultima fase in cui questa storia sfocia. La storia della salvezza prende quindi origine dal suo fine e questo fine è Gesù Cristo. Siamo rimandati alla nozione di “causa finale”:</w:t>
      </w:r>
    </w:p>
    <w:p w:rsidR="007D464A" w:rsidRDefault="007D464A" w:rsidP="007D464A">
      <w:pPr>
        <w:ind w:left="170" w:right="113"/>
        <w:jc w:val="both"/>
        <w:rPr>
          <w:sz w:val="22"/>
          <w:szCs w:val="22"/>
        </w:rPr>
      </w:pPr>
    </w:p>
    <w:p w:rsidR="007D464A" w:rsidRDefault="007D464A" w:rsidP="007D464A">
      <w:pPr>
        <w:ind w:left="170" w:right="113"/>
        <w:jc w:val="both"/>
        <w:rPr>
          <w:sz w:val="22"/>
          <w:szCs w:val="22"/>
        </w:rPr>
      </w:pPr>
      <w:r w:rsidRPr="0050336F">
        <w:rPr>
          <w:sz w:val="22"/>
          <w:szCs w:val="22"/>
        </w:rPr>
        <w:t xml:space="preserve">Gesù Cristo è il fine e quindi la </w:t>
      </w:r>
      <w:r w:rsidRPr="0050336F">
        <w:rPr>
          <w:i/>
          <w:sz w:val="22"/>
          <w:szCs w:val="22"/>
        </w:rPr>
        <w:t xml:space="preserve">causa </w:t>
      </w:r>
      <w:proofErr w:type="spellStart"/>
      <w:r w:rsidRPr="0050336F">
        <w:rPr>
          <w:i/>
          <w:sz w:val="22"/>
          <w:szCs w:val="22"/>
        </w:rPr>
        <w:t>finalis</w:t>
      </w:r>
      <w:proofErr w:type="spellEnd"/>
      <w:r w:rsidRPr="0050336F">
        <w:rPr>
          <w:sz w:val="22"/>
          <w:szCs w:val="22"/>
        </w:rPr>
        <w:t xml:space="preserve"> dell’unica storia della salvezza. Una storia spirituale e personale, in quanto storia operata da Dio stesso nella sua scienza e volontà che abbraccia tutti i tempi, ed in quanto storia fatta anche dall’uomo, vive e si forma realmente in base al suo fine. Il fine e termine è realmente una causa finale e quindi è l’ultima cosa nell’attuazione e la prima nell’intenzione. Ma ciò significa che dal punto di vista di colui che pone l’attuazione con la sua intenzione mediante il suo libero atto spirituale e personale, il fine è un momento intrinseco del movimento verso il fine. Il fine non è solo ciò al cui termine sfocia di fatto il movimento, ma è ciò che in un modo tutto speciale guida dall’interno il movimento stesso… La fine è veramente causa ed origine, il </w:t>
      </w:r>
      <w:proofErr w:type="spellStart"/>
      <w:r w:rsidRPr="0050336F">
        <w:rPr>
          <w:i/>
          <w:sz w:val="22"/>
          <w:szCs w:val="22"/>
        </w:rPr>
        <w:t>télos</w:t>
      </w:r>
      <w:proofErr w:type="spellEnd"/>
      <w:r w:rsidRPr="0050336F">
        <w:rPr>
          <w:sz w:val="22"/>
          <w:szCs w:val="22"/>
        </w:rPr>
        <w:t xml:space="preserve"> è </w:t>
      </w:r>
      <w:proofErr w:type="spellStart"/>
      <w:r w:rsidRPr="0050336F">
        <w:rPr>
          <w:i/>
          <w:sz w:val="22"/>
          <w:szCs w:val="22"/>
        </w:rPr>
        <w:t>arché</w:t>
      </w:r>
      <w:proofErr w:type="spellEnd"/>
      <w:r w:rsidRPr="0050336F">
        <w:rPr>
          <w:sz w:val="22"/>
          <w:szCs w:val="22"/>
        </w:rPr>
        <w:t>. […] La storia della salvezza ha la sua origine in Gesù Cristo quale suo fine e soltanto di qui si può comprendere la vera essenza di ciò che in tal modo si muove come un unico evento totale verso il suo proprio fine</w:t>
      </w:r>
      <w:r w:rsidRPr="007D3C0A">
        <w:rPr>
          <w:rStyle w:val="Rimandonotaapidipagina"/>
          <w:sz w:val="20"/>
          <w:szCs w:val="20"/>
        </w:rPr>
        <w:footnoteReference w:id="6"/>
      </w:r>
      <w:r w:rsidRPr="0050336F">
        <w:rPr>
          <w:sz w:val="22"/>
          <w:szCs w:val="22"/>
        </w:rPr>
        <w:t>.</w:t>
      </w:r>
    </w:p>
    <w:p w:rsidR="007D464A" w:rsidRPr="0050336F" w:rsidRDefault="007D464A" w:rsidP="007D464A">
      <w:pPr>
        <w:ind w:left="170" w:right="113"/>
        <w:jc w:val="both"/>
        <w:rPr>
          <w:sz w:val="22"/>
          <w:szCs w:val="22"/>
        </w:rPr>
      </w:pPr>
    </w:p>
    <w:p w:rsidR="007D464A" w:rsidRDefault="007D464A" w:rsidP="007D464A">
      <w:pPr>
        <w:pStyle w:val="Corpotesto"/>
        <w:rPr>
          <w:sz w:val="24"/>
          <w:szCs w:val="24"/>
        </w:rPr>
      </w:pPr>
      <w:r>
        <w:rPr>
          <w:sz w:val="24"/>
        </w:rPr>
        <w:t xml:space="preserve">Possiamo allora cogliere nell’evento del compimento (Cristo) la dinamica storico-salvifica precristiana, in cui si fa l’unità della storia della salvezza: «con l’evento Cristo non solo giunge qualcosa di nuovo, ma il nuovo deve essere concepito come incluso nella dinamica intrinseca, già cosciente, dell’Antico Testamento. Non possiamo rinunciare all’idea che il Cristo esista già per tutta la storia salvifica dell’Antico Testamento come </w:t>
      </w:r>
      <w:r w:rsidRPr="00AE4F96">
        <w:rPr>
          <w:i/>
          <w:sz w:val="24"/>
        </w:rPr>
        <w:t xml:space="preserve">causa </w:t>
      </w:r>
      <w:proofErr w:type="spellStart"/>
      <w:r w:rsidRPr="00AE4F96">
        <w:rPr>
          <w:i/>
          <w:sz w:val="24"/>
        </w:rPr>
        <w:t>finalis</w:t>
      </w:r>
      <w:proofErr w:type="spellEnd"/>
      <w:r>
        <w:rPr>
          <w:sz w:val="24"/>
        </w:rPr>
        <w:t xml:space="preserve">, come </w:t>
      </w:r>
      <w:proofErr w:type="spellStart"/>
      <w:r w:rsidRPr="00AE4F96">
        <w:rPr>
          <w:i/>
          <w:sz w:val="24"/>
        </w:rPr>
        <w:t>arché</w:t>
      </w:r>
      <w:proofErr w:type="spellEnd"/>
      <w:r>
        <w:rPr>
          <w:sz w:val="24"/>
        </w:rPr>
        <w:t>»</w:t>
      </w:r>
      <w:r w:rsidRPr="007D3C0A">
        <w:rPr>
          <w:rStyle w:val="Rimandonotaapidipagina"/>
          <w:sz w:val="20"/>
        </w:rPr>
        <w:footnoteReference w:id="7"/>
      </w:r>
      <w:r>
        <w:rPr>
          <w:sz w:val="24"/>
        </w:rPr>
        <w:t xml:space="preserve">. </w:t>
      </w:r>
      <w:r>
        <w:rPr>
          <w:sz w:val="24"/>
          <w:szCs w:val="24"/>
        </w:rPr>
        <w:t xml:space="preserve">Soltanto in Gesù Cristo si manifesta e si impone l’essenza di tutta la storia della salvezza. Ma a questo punto si impone la domanda: fino a che punto e sotto quali aspetti il Cristo, in quanto fine, è anche origine e principio essenziale di tutta la storia della salvezza? </w:t>
      </w:r>
      <w:r w:rsidRPr="00345CEE">
        <w:rPr>
          <w:sz w:val="24"/>
          <w:szCs w:val="24"/>
        </w:rPr>
        <w:t>È</w:t>
      </w:r>
      <w:r>
        <w:rPr>
          <w:sz w:val="24"/>
          <w:szCs w:val="24"/>
        </w:rPr>
        <w:t xml:space="preserve"> chiaro che, in linea con le intuizioni di </w:t>
      </w:r>
      <w:proofErr w:type="spellStart"/>
      <w:r>
        <w:rPr>
          <w:sz w:val="24"/>
          <w:szCs w:val="24"/>
        </w:rPr>
        <w:t>Rahner</w:t>
      </w:r>
      <w:proofErr w:type="spellEnd"/>
      <w:r>
        <w:rPr>
          <w:sz w:val="24"/>
          <w:szCs w:val="24"/>
        </w:rPr>
        <w:t xml:space="preserve">, si deve rispondere in base a due aspetti: in base alla volontà salvifica universale di Dio, divenuta palese in Gesù; in base a Gesù Cristo stesso quale evento escatologico insuperabile in cui si identificano grazia e rivelazione, atto di Dio e atto dell’uomo. In Gesù Cristo, come evento definitivo e irreversibile, è pienamente realizzata l’intenzione salvifica di Dio in un evento storico oggettivo, in un dato posto una volta per tutte e irrevocabile. Ma se Gesù realizza il “Sì” definitivo di Dio in un evento oggettivo e insuperabile, ciò significa che qui la presenza di Dio si realizza in una qualità nuova, che supera le precedenti mediazioni profetiche. In Lui la storia della salvezza trova il suo </w:t>
      </w:r>
      <w:r>
        <w:rPr>
          <w:sz w:val="24"/>
          <w:szCs w:val="24"/>
        </w:rPr>
        <w:lastRenderedPageBreak/>
        <w:t xml:space="preserve">vertice compiuto, in modo tale che l’atto </w:t>
      </w:r>
      <w:proofErr w:type="spellStart"/>
      <w:r>
        <w:rPr>
          <w:sz w:val="24"/>
          <w:szCs w:val="24"/>
        </w:rPr>
        <w:t>diDio</w:t>
      </w:r>
      <w:proofErr w:type="spellEnd"/>
      <w:r>
        <w:rPr>
          <w:sz w:val="24"/>
          <w:szCs w:val="24"/>
        </w:rPr>
        <w:t xml:space="preserve"> che si </w:t>
      </w:r>
      <w:proofErr w:type="spellStart"/>
      <w:r>
        <w:rPr>
          <w:sz w:val="24"/>
          <w:szCs w:val="24"/>
        </w:rPr>
        <w:t>autocomunica</w:t>
      </w:r>
      <w:proofErr w:type="spellEnd"/>
      <w:r>
        <w:rPr>
          <w:sz w:val="24"/>
          <w:szCs w:val="24"/>
        </w:rPr>
        <w:t xml:space="preserve"> e l’atto dell’uomo che accoglie tale </w:t>
      </w:r>
      <w:proofErr w:type="spellStart"/>
      <w:r>
        <w:rPr>
          <w:sz w:val="24"/>
          <w:szCs w:val="24"/>
        </w:rPr>
        <w:t>autocomunicazione</w:t>
      </w:r>
      <w:proofErr w:type="spellEnd"/>
      <w:r>
        <w:rPr>
          <w:sz w:val="24"/>
          <w:szCs w:val="24"/>
        </w:rPr>
        <w:t xml:space="preserve"> coincidono. Per questo in Gesù Cristo si riconosce che Dio assume in modo definitivo una realtà umana come sua propria e in questa realtà umana ama in modo assoluto gli uomini. Pertanto questa realtà umana non è più solo una realtà promissoria e superabile. E’ una realtà finita, ma in relazione ad essa si partecipa dell’</w:t>
      </w:r>
      <w:proofErr w:type="spellStart"/>
      <w:r>
        <w:rPr>
          <w:sz w:val="24"/>
          <w:szCs w:val="24"/>
        </w:rPr>
        <w:t>autocomunicarsi</w:t>
      </w:r>
      <w:proofErr w:type="spellEnd"/>
      <w:r>
        <w:rPr>
          <w:sz w:val="24"/>
          <w:szCs w:val="24"/>
        </w:rPr>
        <w:t xml:space="preserve"> irrevocabile di Dio. Gesù Cristo è l’incarnazione di Dio, l’unione ipostatica come evento culmine in cui la storia della salvezza si compie. </w:t>
      </w:r>
    </w:p>
    <w:p w:rsidR="007D464A" w:rsidRDefault="007D464A" w:rsidP="007D464A">
      <w:pPr>
        <w:pStyle w:val="Corpotesto"/>
        <w:rPr>
          <w:sz w:val="24"/>
          <w:szCs w:val="24"/>
        </w:rPr>
      </w:pPr>
      <w:r>
        <w:rPr>
          <w:sz w:val="24"/>
          <w:szCs w:val="24"/>
        </w:rPr>
        <w:t>E’ a partire da questa realizzazione vertice che è possibile dedurre le forme preliminari imperfette della mediazione salvifica:</w:t>
      </w:r>
    </w:p>
    <w:p w:rsidR="007D464A" w:rsidRDefault="007D464A" w:rsidP="007D464A">
      <w:pPr>
        <w:ind w:left="170" w:right="113"/>
        <w:jc w:val="both"/>
        <w:rPr>
          <w:sz w:val="22"/>
          <w:szCs w:val="22"/>
        </w:rPr>
      </w:pPr>
    </w:p>
    <w:p w:rsidR="007D464A" w:rsidRDefault="007D464A" w:rsidP="007D464A">
      <w:pPr>
        <w:ind w:left="170" w:right="113"/>
        <w:jc w:val="both"/>
        <w:rPr>
          <w:sz w:val="22"/>
          <w:szCs w:val="22"/>
        </w:rPr>
      </w:pPr>
      <w:r w:rsidRPr="0050336F">
        <w:rPr>
          <w:sz w:val="22"/>
          <w:szCs w:val="22"/>
        </w:rPr>
        <w:t xml:space="preserve">Tutta la storia della salvezza deve essere concepita come un unico avvenimento in cui Dio si promette in modo definitivo al mondo nell’uomo-Dio, cosicché in questa promessa egli dona se stesso e si rivela come colui che in tal modo si dona. Quest’unica realtà dell’unica storia della salvezza si presenta in fasi che si estendono nel tempo ed in cui agisce la </w:t>
      </w:r>
      <w:r w:rsidRPr="0050336F">
        <w:rPr>
          <w:i/>
          <w:sz w:val="22"/>
          <w:szCs w:val="22"/>
        </w:rPr>
        <w:t>entelechia</w:t>
      </w:r>
      <w:r w:rsidRPr="0050336F">
        <w:rPr>
          <w:sz w:val="22"/>
          <w:szCs w:val="22"/>
        </w:rPr>
        <w:t xml:space="preserve"> interna del tutto… Considerate in rapporto a Gesù Cristo, le diverse fasi della storia della salvezza, nonostante la loro reciproca diversità, si uniscono in definitiva a formare un unico periodo. La vera cesura della storia salvifica in realtà è Gesù Cristo. Le altre cesure della storia veterotestamentaria… a motivo appunto della loro provvisorietà presentano una relativa uniformità e unità. Le cesure, che si possono fare tra le fasi di quest’unica epoca, sono secondarie nei confronti dell’assolutezza raggiunta in Gesù Cristo</w:t>
      </w:r>
      <w:r w:rsidRPr="007D3C0A">
        <w:rPr>
          <w:rStyle w:val="Rimandonotaapidipagina"/>
          <w:sz w:val="20"/>
          <w:szCs w:val="20"/>
        </w:rPr>
        <w:footnoteReference w:id="8"/>
      </w:r>
      <w:r>
        <w:rPr>
          <w:sz w:val="22"/>
          <w:szCs w:val="22"/>
        </w:rPr>
        <w:t xml:space="preserve">. </w:t>
      </w:r>
    </w:p>
    <w:p w:rsidR="007D464A" w:rsidRDefault="007D464A" w:rsidP="007D464A">
      <w:pPr>
        <w:pStyle w:val="Corpotesto"/>
      </w:pPr>
    </w:p>
    <w:p w:rsidR="007D464A" w:rsidRPr="005807F6" w:rsidRDefault="007D464A" w:rsidP="007D464A">
      <w:pPr>
        <w:pStyle w:val="Corpotesto"/>
        <w:jc w:val="center"/>
        <w:rPr>
          <w:sz w:val="24"/>
          <w:szCs w:val="24"/>
        </w:rPr>
      </w:pPr>
      <w:r w:rsidRPr="005807F6">
        <w:rPr>
          <w:sz w:val="24"/>
          <w:szCs w:val="24"/>
        </w:rPr>
        <w:t xml:space="preserve">2.3. </w:t>
      </w:r>
      <w:r w:rsidRPr="005807F6">
        <w:rPr>
          <w:i/>
          <w:sz w:val="24"/>
          <w:szCs w:val="24"/>
        </w:rPr>
        <w:t xml:space="preserve">Il cristocentrismo pluralista e dialogico di J. </w:t>
      </w:r>
      <w:proofErr w:type="spellStart"/>
      <w:r w:rsidRPr="005807F6">
        <w:rPr>
          <w:i/>
          <w:sz w:val="24"/>
          <w:szCs w:val="24"/>
        </w:rPr>
        <w:t>Dupuis</w:t>
      </w:r>
      <w:proofErr w:type="spellEnd"/>
    </w:p>
    <w:p w:rsidR="007D464A" w:rsidRPr="00C86409" w:rsidRDefault="007D464A" w:rsidP="007D464A">
      <w:pPr>
        <w:pStyle w:val="Corpotesto"/>
      </w:pPr>
    </w:p>
    <w:p w:rsidR="007D464A" w:rsidRDefault="007D464A" w:rsidP="007D464A">
      <w:pPr>
        <w:jc w:val="both"/>
      </w:pPr>
      <w:r>
        <w:t xml:space="preserve">La posizione di </w:t>
      </w:r>
      <w:r w:rsidRPr="00C13D16">
        <w:rPr>
          <w:i/>
        </w:rPr>
        <w:t xml:space="preserve">J. </w:t>
      </w:r>
      <w:proofErr w:type="spellStart"/>
      <w:r w:rsidRPr="00C13D16">
        <w:rPr>
          <w:i/>
        </w:rPr>
        <w:t>Dupuis</w:t>
      </w:r>
      <w:proofErr w:type="spellEnd"/>
      <w:r>
        <w:t xml:space="preserve"> si inserisce bene in questa prospettiva ma con la preoccupazione di prendere sul serio l’istanza pluralista: occorre riconoscere il valore salvifico delle altre religioni. Ciò non significa rinunciare all’unità nel Verbo dell’economia salvifica né all’unicità e universalità di Cristo quale mediatore di salvezza e rivelazione. E’ evidente che nell’unico piano salvifico le religioni ricevono da Cristo il loro valore di mezzi di rivelazione e salvezza. Ma occorre fare un passo in più verso la logica pluralista: nel dialogo il cristianesimo e le religioni devono realizzare un rapporto complementare, ossia un regime di dare e ricevere. Il cristianesimo può ricevere qualcosa dalle altre religioni se la verità dell’unico Verbo, che si è incarnato in Gesù, non si esaurisce nella sua storia concreta e finita (e quindi limitata), ma sporge rispetto a tale storia e deborda in altre religioni. Ciò permette di pensare che nel dialogo il cristianesimo riceve dall’altro elementi di verità operati dall’unico Verbo ma al di là della mediazione cristologia. L’unità della storia della salvezza si fa nell’unico Verbo «che è anche Gesù Cristo», ma sporge rispetto alla sua coscienza finita e fa convergere le diverse religioni nell’unica salvezza e verità. Della ricca e sfumata riflessione del gesuita belga sottolineiamo due elementi: la comprensione della successione delle alleanze e il problema cristologico.</w:t>
      </w:r>
    </w:p>
    <w:p w:rsidR="007D464A" w:rsidRDefault="007D464A" w:rsidP="007D464A">
      <w:pPr>
        <w:jc w:val="both"/>
      </w:pPr>
    </w:p>
    <w:p w:rsidR="007D464A" w:rsidRDefault="007D464A" w:rsidP="007D464A">
      <w:pPr>
        <w:pStyle w:val="Corpotesto"/>
        <w:rPr>
          <w:sz w:val="24"/>
        </w:rPr>
      </w:pPr>
      <w:r>
        <w:rPr>
          <w:sz w:val="24"/>
        </w:rPr>
        <w:t xml:space="preserve">2.3.1. </w:t>
      </w:r>
      <w:r w:rsidRPr="008D2FF1">
        <w:rPr>
          <w:i/>
          <w:sz w:val="24"/>
        </w:rPr>
        <w:t>La problematica della storia della salvezza: la questione delle “alleanze non revocate”</w:t>
      </w:r>
    </w:p>
    <w:p w:rsidR="007D464A" w:rsidRDefault="007D464A" w:rsidP="007D464A">
      <w:pPr>
        <w:pStyle w:val="Corpotesto"/>
        <w:rPr>
          <w:sz w:val="24"/>
        </w:rPr>
      </w:pPr>
    </w:p>
    <w:p w:rsidR="007D464A" w:rsidRDefault="007D464A" w:rsidP="007D464A">
      <w:pPr>
        <w:pStyle w:val="Corpotesto"/>
        <w:rPr>
          <w:sz w:val="24"/>
        </w:rPr>
      </w:pPr>
      <w:r>
        <w:rPr>
          <w:sz w:val="24"/>
        </w:rPr>
        <w:t xml:space="preserve">(a) La tentazione di rispondere alle istanze del pluralismo con una separazione tra il piano salvifico di Dio e la sua realizzazione storica concreta sembra emergere in queste riflessioni di </w:t>
      </w:r>
      <w:r>
        <w:rPr>
          <w:i/>
          <w:iCs/>
          <w:sz w:val="24"/>
        </w:rPr>
        <w:t xml:space="preserve">J. </w:t>
      </w:r>
      <w:proofErr w:type="spellStart"/>
      <w:r>
        <w:rPr>
          <w:i/>
          <w:iCs/>
          <w:sz w:val="24"/>
        </w:rPr>
        <w:t>Dupuis</w:t>
      </w:r>
      <w:proofErr w:type="spellEnd"/>
      <w:r>
        <w:rPr>
          <w:sz w:val="24"/>
        </w:rPr>
        <w:t>:</w:t>
      </w:r>
    </w:p>
    <w:p w:rsidR="007D464A" w:rsidRDefault="007D464A" w:rsidP="007D464A">
      <w:pPr>
        <w:ind w:left="170" w:right="113"/>
        <w:jc w:val="both"/>
        <w:rPr>
          <w:sz w:val="22"/>
        </w:rPr>
      </w:pPr>
    </w:p>
    <w:p w:rsidR="007D464A" w:rsidRDefault="007D464A" w:rsidP="007D464A">
      <w:pPr>
        <w:ind w:left="170" w:right="113"/>
        <w:jc w:val="both"/>
        <w:rPr>
          <w:sz w:val="22"/>
        </w:rPr>
      </w:pPr>
      <w:r w:rsidRPr="007348A9">
        <w:rPr>
          <w:sz w:val="22"/>
        </w:rPr>
        <w:t>Tuttavia, una cosa è il piano divino di salvezza e un’altra la sua realizzazione storica. Volendo passare dal primo alla seconda bisogna ora interrogarsi sul modo concreto in cui il piano divino si realizza nella storia del mondo e dell’umanità. Dobbiamo dunque domandarci che posto occupa, in virtù del piano divino, l’evento Gesù Cristo nella storia globale dell’umanità, che è nello stesso tempo storia della salvezza</w:t>
      </w:r>
      <w:r w:rsidRPr="007D3C0A">
        <w:rPr>
          <w:rStyle w:val="Rimandonotaapidipagina"/>
          <w:sz w:val="20"/>
          <w:szCs w:val="20"/>
        </w:rPr>
        <w:footnoteReference w:id="9"/>
      </w:r>
      <w:r w:rsidRPr="007348A9">
        <w:rPr>
          <w:sz w:val="22"/>
        </w:rPr>
        <w:t>.</w:t>
      </w:r>
    </w:p>
    <w:p w:rsidR="007D464A" w:rsidRPr="007348A9" w:rsidRDefault="007D464A" w:rsidP="007D464A">
      <w:pPr>
        <w:ind w:left="170" w:right="113"/>
        <w:jc w:val="both"/>
        <w:rPr>
          <w:sz w:val="22"/>
        </w:rPr>
      </w:pPr>
    </w:p>
    <w:p w:rsidR="007D464A" w:rsidRDefault="007D464A" w:rsidP="007D464A">
      <w:pPr>
        <w:pStyle w:val="Corpotesto"/>
        <w:rPr>
          <w:sz w:val="24"/>
        </w:rPr>
      </w:pPr>
      <w:r>
        <w:rPr>
          <w:sz w:val="24"/>
        </w:rPr>
        <w:lastRenderedPageBreak/>
        <w:t xml:space="preserve">Non è tanto la distinzione tra il piano divino di salvezza e la sua realizzazione storica a sorprendere, quanto piuttosto il fatto che si possa considerare quest’ultima in un secondo tempo e quasi presupponendo il primo come per sé ovvio. Ne derivano due obiezioni sostanziali. </w:t>
      </w:r>
    </w:p>
    <w:p w:rsidR="007D464A" w:rsidRDefault="007D464A" w:rsidP="007D464A">
      <w:pPr>
        <w:pStyle w:val="Corpotesto"/>
        <w:rPr>
          <w:sz w:val="24"/>
        </w:rPr>
      </w:pPr>
      <w:r>
        <w:rPr>
          <w:sz w:val="24"/>
        </w:rPr>
        <w:t xml:space="preserve">La prima riguarda il rapporto tra l’evento Gesù Cristo, inteso quale attuazione storica del piano divino, e questo stesso piano divino di salvezza. La volontà salvifica universale di Dio è riconosciuta dalla fede al modo dell’orizzonte adeguato dell’evento cristologico. In tal senso però questa verità originaria è conosciuta solo nell’inscindibile tensione tra l’evento e il suo orizzonte di senso, dove nessuno dei due termini è separabile dall’altro al modo di un dato disponibile e per sé evidente. L’orizzonte che deve essere anticipato per poter sillabare in maniera sensata e quindi leggibile l’esperienza propiziata dall’incontro con Gesù Cristo e il dato d’esperienza che solo è capace di dischiudere quell’orizzonte di esperienza in modo adeguato sono inseparabilmente dati insieme. </w:t>
      </w:r>
    </w:p>
    <w:p w:rsidR="007D464A" w:rsidRDefault="007D464A" w:rsidP="007D464A">
      <w:pPr>
        <w:pStyle w:val="Corpotesto"/>
        <w:rPr>
          <w:sz w:val="24"/>
        </w:rPr>
      </w:pPr>
      <w:r>
        <w:rPr>
          <w:sz w:val="24"/>
        </w:rPr>
        <w:t xml:space="preserve">La seconda obiezione riguarda la condizione di possibilità della percezione di un’unità di senso della storia, ovvero di una “storia globale dell’umanità” retta dal piano divino di salvezza. Anzitutto non è chiaro perché l’unità della storia debba essere guadagnata solo sul versante del dono di Dio e non su quello della risposta umana. La storia mette in gioco precisamente la libertà dell’uomo. Ma l’universale della libertà non è pensabile al modo di ciò che sta al di là dell’orizzonte storico dell’esperienza umana e quindi al di là della libertà contingente e limitata. C’è il rischio di rimandare l’unità della storia a un elemento trascendente e inafferrabile “al di là di tutto”, che di fatto vale per tutti e quindi non riguarda nessuno in particolare. Inoltre, e più radicalmente, occorre verificare come funziona il riconoscimento dell’unità della storia globale dell’umanità, intesa come storia della salvezza. L’unità può essere concepita in termini essenziali come unità dell’uomo nel bambino e nell’adulto, oppure in termini escatologici, come unificazione del processo totale nel compimento, o ancora nell’origine, come derivazione di tutto da un principio unitario. Ma nelle sue diverse forme il pensiero dell’unità deve esibire da quale punto di vista si stabilisce una tale unificazione e quindi con quale procedimento riesce ad avere accesso a una prospettiva sul tutto. Come è possibile percepire il senso globale di un processo in cui si è ancora immersi? Come è possibile afferrare il senso del tutto, se si è nella condizione di una parte della totalità? La fede non pensa tanto di aver còlto il piano salvifico di Dio al di là delle sue concretizzazioni, ma di aver incontrato un’offerta divina così radicale, da rimettere in gioco l’originario, quel contatto con Dio che è all’inizio delle vie di Dio con l’uomo e quindi “in principio”. Ciò però non significa che la fede si arroghi il diritto di dire ciò che è all’origine </w:t>
      </w:r>
      <w:proofErr w:type="spellStart"/>
      <w:r>
        <w:rPr>
          <w:sz w:val="24"/>
        </w:rPr>
        <w:t>indipendetemente</w:t>
      </w:r>
      <w:proofErr w:type="spellEnd"/>
      <w:r>
        <w:rPr>
          <w:sz w:val="24"/>
        </w:rPr>
        <w:t xml:space="preserve"> e quasi previamente alla sua attualizzazione storica. E comunque non ha mai preteso di dirlo al modo di un dato autonomo e per sé noto, da ritrovare poi diversamente realizzato nelle diverse storie degli uomini.</w:t>
      </w:r>
    </w:p>
    <w:p w:rsidR="007D464A" w:rsidRDefault="007D464A" w:rsidP="007D464A">
      <w:pPr>
        <w:pStyle w:val="Corpotesto"/>
        <w:rPr>
          <w:sz w:val="24"/>
        </w:rPr>
      </w:pPr>
    </w:p>
    <w:p w:rsidR="007D464A" w:rsidRDefault="007D464A" w:rsidP="007D464A">
      <w:pPr>
        <w:pStyle w:val="Corpotesto"/>
        <w:rPr>
          <w:sz w:val="24"/>
        </w:rPr>
      </w:pPr>
      <w:r>
        <w:rPr>
          <w:sz w:val="24"/>
        </w:rPr>
        <w:t xml:space="preserve">(b) Proseguendo nella riflessione, però, J. </w:t>
      </w:r>
      <w:proofErr w:type="spellStart"/>
      <w:r>
        <w:rPr>
          <w:sz w:val="24"/>
        </w:rPr>
        <w:t>Dupuis</w:t>
      </w:r>
      <w:proofErr w:type="spellEnd"/>
      <w:r>
        <w:rPr>
          <w:sz w:val="24"/>
        </w:rPr>
        <w:t xml:space="preserve"> sembra identificare meglio i due termini in gioco. Da un lato c’è l’alleanza definitiva in Cristo e dall’altro le varie alleanze di cui parla la stessa Scrittura. La domanda, dunque, non è quella generica del rapporto tra un piano universale e trascendente e una sua concretizzazione, bensì quale possa essere il rapporto tra il compimento dell’alleanza in Cristo e il permanere delle altre alleanze:</w:t>
      </w:r>
    </w:p>
    <w:p w:rsidR="007D464A" w:rsidRDefault="007D464A" w:rsidP="007D464A">
      <w:pPr>
        <w:ind w:left="170" w:right="113"/>
        <w:jc w:val="both"/>
        <w:rPr>
          <w:sz w:val="22"/>
        </w:rPr>
      </w:pPr>
    </w:p>
    <w:p w:rsidR="007D464A" w:rsidRDefault="007D464A" w:rsidP="007D464A">
      <w:pPr>
        <w:ind w:left="170" w:right="113"/>
        <w:jc w:val="both"/>
        <w:rPr>
          <w:sz w:val="22"/>
        </w:rPr>
      </w:pPr>
      <w:r w:rsidRPr="007348A9">
        <w:rPr>
          <w:sz w:val="22"/>
        </w:rPr>
        <w:t xml:space="preserve">Si tratterà di situare l’alleanza decisiva, stretta da Dio in Gesù Cristo con l’umanità, nei confronti delle varie alleanze di Dio con i popoli nella storia. Si tratterà di determinare teologicamente il senso, voluto da Dio, di queste alleanze storiche e del loro rapporto con l’alleanza decisiva stabilita da Dio… Ancora dovremo interrogarci sul valore </w:t>
      </w:r>
      <w:proofErr w:type="spellStart"/>
      <w:r w:rsidRPr="007348A9">
        <w:rPr>
          <w:sz w:val="22"/>
        </w:rPr>
        <w:t>permamente</w:t>
      </w:r>
      <w:proofErr w:type="spellEnd"/>
      <w:r w:rsidRPr="007348A9">
        <w:rPr>
          <w:sz w:val="22"/>
        </w:rPr>
        <w:t xml:space="preserve"> di queste alleanze dopo l’evento Gesù Cristo e sul valore delle tradizioni che ne sono simbolo</w:t>
      </w:r>
      <w:r w:rsidRPr="007D3C0A">
        <w:rPr>
          <w:rStyle w:val="Rimandonotaapidipagina"/>
          <w:sz w:val="20"/>
          <w:szCs w:val="20"/>
        </w:rPr>
        <w:footnoteReference w:id="10"/>
      </w:r>
      <w:r w:rsidRPr="007348A9">
        <w:rPr>
          <w:sz w:val="22"/>
        </w:rPr>
        <w:t>.</w:t>
      </w:r>
    </w:p>
    <w:p w:rsidR="007D464A" w:rsidRPr="007348A9" w:rsidRDefault="007D464A" w:rsidP="007D464A">
      <w:pPr>
        <w:ind w:left="170" w:right="113"/>
        <w:jc w:val="both"/>
        <w:rPr>
          <w:sz w:val="22"/>
        </w:rPr>
      </w:pPr>
    </w:p>
    <w:p w:rsidR="007D464A" w:rsidRDefault="007D464A" w:rsidP="007D464A">
      <w:pPr>
        <w:pStyle w:val="Corpotesto"/>
        <w:rPr>
          <w:sz w:val="24"/>
        </w:rPr>
      </w:pPr>
      <w:r>
        <w:rPr>
          <w:sz w:val="24"/>
        </w:rPr>
        <w:t xml:space="preserve">Dall’indagine successiva J. </w:t>
      </w:r>
      <w:proofErr w:type="spellStart"/>
      <w:r>
        <w:rPr>
          <w:sz w:val="24"/>
        </w:rPr>
        <w:t>Dupuis</w:t>
      </w:r>
      <w:proofErr w:type="spellEnd"/>
      <w:r>
        <w:rPr>
          <w:sz w:val="24"/>
        </w:rPr>
        <w:t xml:space="preserve"> ricava la conclusione che delle quattro alleanze fondamentali di Dio con l’uomo prima di Cristo, ossia quella con Adamo, quella con Noè, quella di Abramo e di Mosè, le ultime due mantengono sicuramente una loro validità, mentre l’alleanza cosmica con Noè </w:t>
      </w:r>
      <w:r>
        <w:rPr>
          <w:sz w:val="24"/>
        </w:rPr>
        <w:lastRenderedPageBreak/>
        <w:t>risulta di interpretazione ambigua. È proprio questo permanente valore salvifico a rimandare all’unico mistero di Cristo. La presenza di Dio in Cristo, infatti, è una realtà spirituale aperta a diversi ordini di mediazione. In se stessa, però, li trascende tutti</w:t>
      </w:r>
      <w:r w:rsidRPr="007D3C0A">
        <w:rPr>
          <w:rStyle w:val="Rimandonotaapidipagina"/>
          <w:sz w:val="20"/>
        </w:rPr>
        <w:footnoteReference w:id="11"/>
      </w:r>
      <w:r>
        <w:rPr>
          <w:sz w:val="24"/>
        </w:rPr>
        <w:t>. In questa prospettiva è tutelata l’unicità del piano di salvezza e si cerca anzi di chiarire l’articolazione tra le diverse alleanze, che pur rimandano all’unico mistero di Cristo</w:t>
      </w:r>
      <w:r w:rsidRPr="00E04604">
        <w:rPr>
          <w:rStyle w:val="Rimandonotaapidipagina"/>
          <w:sz w:val="20"/>
        </w:rPr>
        <w:footnoteReference w:id="12"/>
      </w:r>
      <w:r>
        <w:rPr>
          <w:sz w:val="24"/>
        </w:rPr>
        <w:t xml:space="preserve">. Meno chiaro è il rapporto tra il Cristo e Gesù. </w:t>
      </w:r>
    </w:p>
    <w:p w:rsidR="007D464A" w:rsidRDefault="007D464A" w:rsidP="007D464A">
      <w:pPr>
        <w:pStyle w:val="Corpotesto"/>
        <w:rPr>
          <w:sz w:val="24"/>
        </w:rPr>
      </w:pPr>
    </w:p>
    <w:p w:rsidR="007D464A" w:rsidRDefault="007D464A" w:rsidP="007D464A">
      <w:pPr>
        <w:pStyle w:val="Corpotesto"/>
        <w:rPr>
          <w:sz w:val="24"/>
        </w:rPr>
      </w:pPr>
      <w:r>
        <w:rPr>
          <w:sz w:val="24"/>
        </w:rPr>
        <w:t xml:space="preserve">(c) Ma la questione decisiva è la stessa comprensione dei rapporti tra le alleanze nel piano universale di Dio: si tratta di realtà successive e giustapposte, accostabili come dimensioni permanenti? Di fatto non è possibile decidere del senso e del valore di un’alleanza dall’esterno. Occorre inserirsi nella sua logica, per cogliervi quale dono Dio mette in gioco e come questo si realizza nella libera risposta dell’uomo. Ciò però rivela che il rapporto tra le alleanze non può essere pensato al modo di realtà giustapposte o successive. Piuttosto si deve dire che un’alleanza è riscritta nell’altra a partire dalla fedeltà di Dio, che rinnova il dono al di là del fallimento umano in vista del compimento. La ripresa di un’alleanza in un’altra non significa che Dio fa qualcosa d’altro, ma che intende riprendere il suo dono all’interno di un rinnovato rapporto con la creatura. Tale ripresa è animata dalla volontà di comunicare pienamente il dono a una libertà capace di corrispondervi adeguatamente. È solo alla luce della piena realizzazione che appare in tutta la sua profondità il dono che Dio inscrive nel rapporto di alleanza con l’uomo, proprio mentre si realizza la libertà (filiale) in grado di corrispondere fino in fondo al donarsi di Dio. Le alleanza, in altri termini, vanno assunte nel dramma della storia della salvezza, che non si dà al modo di una </w:t>
      </w:r>
      <w:proofErr w:type="spellStart"/>
      <w:r>
        <w:rPr>
          <w:sz w:val="24"/>
        </w:rPr>
        <w:t>succesione</w:t>
      </w:r>
      <w:proofErr w:type="spellEnd"/>
      <w:r>
        <w:rPr>
          <w:sz w:val="24"/>
        </w:rPr>
        <w:t xml:space="preserve"> lineare, ma come ripresa dell’origine in vista del compimento, una ripresa che approfondisce e radicalizza il contatto tra Dio e l’uomo</w:t>
      </w:r>
      <w:r w:rsidRPr="00E04604">
        <w:rPr>
          <w:rStyle w:val="Rimandonotaapidipagina"/>
          <w:sz w:val="20"/>
        </w:rPr>
        <w:footnoteReference w:id="13"/>
      </w:r>
      <w:r>
        <w:rPr>
          <w:sz w:val="24"/>
        </w:rPr>
        <w:t>. Si tratta di un cammino che non è puro progresso né inesorabile decadenza, bensì ripresa a partire dal rinnovarsi del contatto di Dio con l’uomo. In questa prospettiva non è chiaro cosa possa significare che un’alleanza mantiene un valore permanente accanto al suo compimento, se non nel senso di una pedagogia che è sempre possibile, ma al modo di qualcosa di provvisorio e funzionale o al modo del ricordo di dimensioni importanti del rapporto di Dio con l’uomo, che occorre custodire nell’appropriazione del compimento.</w:t>
      </w:r>
    </w:p>
    <w:p w:rsidR="007D464A" w:rsidRDefault="007D464A" w:rsidP="007D464A">
      <w:pPr>
        <w:pStyle w:val="Corpotesto"/>
        <w:rPr>
          <w:sz w:val="24"/>
        </w:rPr>
      </w:pPr>
      <w:r>
        <w:rPr>
          <w:sz w:val="24"/>
        </w:rPr>
        <w:t>È proprio in relazione a questo tipo di riflessioni sul rapporto tra le alleanze che si pone la questione dell’unità della storia globale degli uomini. Tale unità non va cercata solo e anzitutto sul versante del dono trascendente di Dio e quindi nella presenza del Verbo preesistente o dello Spirito in altre tradizioni. Va invece vista nel dinamismo drammatico dei rapporti tra Dio e uomo, un dramma che porta a riprendere l’alleanza all’interno di un nuovo contatto tra Dio e l’uomo, in cui si rinnova il dono di Dio proprio mentre l’uomo è consegnato a se stesso con una nuova capacità di corrispondere all’amore sempre più grande del Donatore. Questo tipo di discorso pone al centro del dialogo tra le religioni l’esigenza di pensare al senso della predestinazione di Gesù ad essere il Cristo, il cuore della storia di Dio con gli uomini, più che un discorso di incarnazione del Verbo preesistente.</w:t>
      </w:r>
    </w:p>
    <w:p w:rsidR="007D464A" w:rsidRDefault="007D464A" w:rsidP="007D464A">
      <w:pPr>
        <w:pStyle w:val="Corpotesto"/>
        <w:rPr>
          <w:sz w:val="24"/>
        </w:rPr>
      </w:pPr>
    </w:p>
    <w:p w:rsidR="007D464A" w:rsidRDefault="007D464A" w:rsidP="007D464A">
      <w:pPr>
        <w:pStyle w:val="Corpotesto"/>
        <w:rPr>
          <w:sz w:val="24"/>
        </w:rPr>
      </w:pPr>
      <w:r>
        <w:rPr>
          <w:sz w:val="24"/>
        </w:rPr>
        <w:t xml:space="preserve">2.3.2. </w:t>
      </w:r>
      <w:r w:rsidRPr="000A340F">
        <w:rPr>
          <w:i/>
          <w:sz w:val="24"/>
        </w:rPr>
        <w:t>La problematica cristologi</w:t>
      </w:r>
      <w:r>
        <w:rPr>
          <w:i/>
          <w:sz w:val="24"/>
        </w:rPr>
        <w:t>c</w:t>
      </w:r>
      <w:r w:rsidRPr="000A340F">
        <w:rPr>
          <w:i/>
          <w:sz w:val="24"/>
        </w:rPr>
        <w:t>a: il Logos e Gesù.</w:t>
      </w:r>
    </w:p>
    <w:p w:rsidR="007D464A" w:rsidRDefault="007D464A" w:rsidP="007D464A">
      <w:pPr>
        <w:pStyle w:val="Corpotesto"/>
        <w:rPr>
          <w:sz w:val="24"/>
        </w:rPr>
      </w:pPr>
    </w:p>
    <w:p w:rsidR="007D464A" w:rsidRDefault="007D464A" w:rsidP="007D464A">
      <w:pPr>
        <w:pStyle w:val="Corpotesto"/>
        <w:rPr>
          <w:sz w:val="24"/>
        </w:rPr>
      </w:pPr>
      <w:r>
        <w:rPr>
          <w:sz w:val="24"/>
        </w:rPr>
        <w:t xml:space="preserve">(a) Questa visione della storia della salvezza implica (o presuppone) l’idea di un Logos preesistente incarnatosi in Gesù ma «distinto da lui», in quanto trascendente rispetto alla vita storica limitata del </w:t>
      </w:r>
      <w:r>
        <w:rPr>
          <w:sz w:val="24"/>
        </w:rPr>
        <w:lastRenderedPageBreak/>
        <w:t>Nazareno</w:t>
      </w:r>
      <w:r w:rsidRPr="00E04604">
        <w:rPr>
          <w:rStyle w:val="Rimandonotaapidipagina"/>
          <w:sz w:val="20"/>
        </w:rPr>
        <w:footnoteReference w:id="14"/>
      </w:r>
      <w:r>
        <w:rPr>
          <w:sz w:val="24"/>
        </w:rPr>
        <w:t xml:space="preserve">. Non è facile capire l’identità di questo «Logos»: sembra a volte che si tratti del simbolo o del sacramento dell’azione salvifica universale di Dio o del nome della volontà salvifica di Dio che sta al di là delle concretizzazioni nelle varie economie storico-religiose concrete. In quanto però è inteso come il «Logos </w:t>
      </w:r>
      <w:proofErr w:type="spellStart"/>
      <w:r>
        <w:rPr>
          <w:i/>
          <w:iCs/>
          <w:sz w:val="24"/>
        </w:rPr>
        <w:t>asarkos</w:t>
      </w:r>
      <w:proofErr w:type="spellEnd"/>
      <w:r>
        <w:rPr>
          <w:sz w:val="24"/>
        </w:rPr>
        <w:t xml:space="preserve">» (non-incarnato) che opera nelle diverse religioni una differente manifestazione di Dio, fondando il valore autonomo delle varie tradizioni religiose, questo Logos assume la forma di una realtà divina personale preesistente, che ha una sua attività universale e plurale nelle diverse esperienze religiose. A questo livello della riflessione pare dunque di poter ritrovare l’idea di un «preesistente» personale e attivo, che opera diversamente nella storia della salvezza, o meglio nelle diverse economie salvifiche. Si tratta di uno spazio originario radicale e quindi «neutro», nel senso che chiede di andare al di là delle singole tradizioni religiose e quindi anche al di là del compimento escatologico della glorificazione del Risorto. La presenza e l’azione del Logos </w:t>
      </w:r>
      <w:r>
        <w:rPr>
          <w:i/>
          <w:iCs/>
          <w:sz w:val="24"/>
        </w:rPr>
        <w:t>«</w:t>
      </w:r>
      <w:proofErr w:type="spellStart"/>
      <w:r>
        <w:rPr>
          <w:i/>
          <w:iCs/>
          <w:sz w:val="24"/>
        </w:rPr>
        <w:t>asarkos</w:t>
      </w:r>
      <w:proofErr w:type="spellEnd"/>
      <w:r>
        <w:rPr>
          <w:i/>
          <w:iCs/>
          <w:sz w:val="24"/>
        </w:rPr>
        <w:t>»</w:t>
      </w:r>
      <w:r>
        <w:rPr>
          <w:sz w:val="24"/>
        </w:rPr>
        <w:t xml:space="preserve"> è ciò che garantisce la </w:t>
      </w:r>
      <w:r>
        <w:rPr>
          <w:i/>
          <w:iCs/>
          <w:sz w:val="24"/>
        </w:rPr>
        <w:t>validità</w:t>
      </w:r>
      <w:r>
        <w:rPr>
          <w:sz w:val="24"/>
        </w:rPr>
        <w:t xml:space="preserve"> delle diverse tradizioni religiose. La trascendenza di tale Logos rispetto alla sua incarnazione nella storia limitata, perché finita, di Gesù è ciò che garantisce la validità </w:t>
      </w:r>
      <w:proofErr w:type="spellStart"/>
      <w:r>
        <w:rPr>
          <w:i/>
          <w:iCs/>
          <w:sz w:val="24"/>
        </w:rPr>
        <w:t>permamente</w:t>
      </w:r>
      <w:proofErr w:type="spellEnd"/>
      <w:r>
        <w:rPr>
          <w:sz w:val="24"/>
        </w:rPr>
        <w:t xml:space="preserve"> delle altre religioni in ordine alla salvezza e alla conoscenza di Dio. E’ evidente che un simile spazio di considerazione del Logos presupponga l’idea di un preesistente che agisce diversamente e poi si incarna (anche) in Gesù. Ciò che unifica nello spazio dell’origine non è genericamente Dio o la sua volontà salvifica universale, bensì la mediazione dell’agire rivelatore e salvifico divino da parte dell’unico Logos, considerato prima nella sua dimensione «non-incarnata» e successivamente nella sua dinamica di incarnazione, che ha il suo culmine in Gesù Cristo. Lo stesso prologo di Giovanni giustificherebbe una simile distinzione, indirizzando lo sguardo «al principio», cioè al Logos in Dio, e quindi alla sua azione di illuminazione di ogni uomo (azione universale: </w:t>
      </w:r>
      <w:proofErr w:type="spellStart"/>
      <w:r>
        <w:rPr>
          <w:sz w:val="24"/>
        </w:rPr>
        <w:t>Gv</w:t>
      </w:r>
      <w:proofErr w:type="spellEnd"/>
      <w:r>
        <w:rPr>
          <w:sz w:val="24"/>
        </w:rPr>
        <w:t xml:space="preserve"> 1,3-5) per poi dirigersi in un secondo tempo alla sua incarnazione in Gesù (</w:t>
      </w:r>
      <w:proofErr w:type="spellStart"/>
      <w:r>
        <w:rPr>
          <w:sz w:val="24"/>
        </w:rPr>
        <w:t>Gv</w:t>
      </w:r>
      <w:proofErr w:type="spellEnd"/>
      <w:r>
        <w:rPr>
          <w:sz w:val="24"/>
        </w:rPr>
        <w:t xml:space="preserve"> 1,12-14)</w:t>
      </w:r>
      <w:r w:rsidRPr="00E04604">
        <w:rPr>
          <w:rStyle w:val="Rimandonotaapidipagina"/>
          <w:sz w:val="20"/>
        </w:rPr>
        <w:footnoteReference w:id="15"/>
      </w:r>
      <w:r>
        <w:rPr>
          <w:sz w:val="24"/>
        </w:rPr>
        <w:t>. In questa prospettiva, insomma, il Logos non fonda più solo l’universalità della mediazione di Gesù Cristo, né esprime semplicemente la sua origine in Dio o la presenza rivelatrice definitiva di Dio in lui. Identifica piuttosto una realtà preesistente che opera diversamente, fondando le differenti economie salvifiche.</w:t>
      </w:r>
    </w:p>
    <w:p w:rsidR="007D464A" w:rsidRDefault="007D464A" w:rsidP="007D464A">
      <w:pPr>
        <w:pStyle w:val="Corpotesto"/>
        <w:rPr>
          <w:sz w:val="24"/>
        </w:rPr>
      </w:pPr>
    </w:p>
    <w:p w:rsidR="007D464A" w:rsidRDefault="007D464A" w:rsidP="007D464A">
      <w:pPr>
        <w:pStyle w:val="Corpotesto"/>
        <w:rPr>
          <w:sz w:val="24"/>
        </w:rPr>
      </w:pPr>
      <w:r>
        <w:rPr>
          <w:sz w:val="24"/>
        </w:rPr>
        <w:t xml:space="preserve">(b) In prima approssimazione la domanda che questa riflessione sul Logos pone può essere così espressa: esiste un Logos </w:t>
      </w:r>
      <w:proofErr w:type="spellStart"/>
      <w:r>
        <w:rPr>
          <w:i/>
          <w:iCs/>
          <w:sz w:val="24"/>
        </w:rPr>
        <w:t>asarkos</w:t>
      </w:r>
      <w:proofErr w:type="spellEnd"/>
      <w:r>
        <w:rPr>
          <w:sz w:val="24"/>
        </w:rPr>
        <w:t xml:space="preserve"> che agisce a titolo differente nelle varie religioni, realizzando diversamente l’unica volontà salvifica di Dio? Oppure quest’unica volontà si media precisamente in quel «</w:t>
      </w:r>
      <w:proofErr w:type="spellStart"/>
      <w:r>
        <w:rPr>
          <w:sz w:val="24"/>
        </w:rPr>
        <w:t>Verbum</w:t>
      </w:r>
      <w:proofErr w:type="spellEnd"/>
      <w:r>
        <w:rPr>
          <w:sz w:val="24"/>
        </w:rPr>
        <w:t xml:space="preserve"> </w:t>
      </w:r>
      <w:proofErr w:type="spellStart"/>
      <w:r>
        <w:rPr>
          <w:sz w:val="24"/>
        </w:rPr>
        <w:t>incarnandum</w:t>
      </w:r>
      <w:proofErr w:type="spellEnd"/>
      <w:r>
        <w:rPr>
          <w:sz w:val="24"/>
        </w:rPr>
        <w:t>» che è Gesù Cristo? E’ pensabile una distinzione tra il Logos e Gesù?</w:t>
      </w:r>
      <w:r w:rsidRPr="00E04604">
        <w:rPr>
          <w:rStyle w:val="Rimandonotaapidipagina"/>
          <w:sz w:val="20"/>
        </w:rPr>
        <w:footnoteReference w:id="16"/>
      </w:r>
    </w:p>
    <w:p w:rsidR="007D464A" w:rsidRDefault="007D464A" w:rsidP="007D464A">
      <w:pPr>
        <w:pStyle w:val="Corpotesto"/>
        <w:rPr>
          <w:sz w:val="24"/>
        </w:rPr>
      </w:pPr>
      <w:r>
        <w:rPr>
          <w:sz w:val="24"/>
        </w:rPr>
        <w:t xml:space="preserve">La strategia del discorso parte dal riconoscimento del </w:t>
      </w:r>
      <w:r>
        <w:rPr>
          <w:i/>
          <w:iCs/>
          <w:sz w:val="24"/>
        </w:rPr>
        <w:t xml:space="preserve">Logos </w:t>
      </w:r>
      <w:proofErr w:type="spellStart"/>
      <w:r>
        <w:rPr>
          <w:i/>
          <w:iCs/>
          <w:sz w:val="24"/>
        </w:rPr>
        <w:t>asarkos</w:t>
      </w:r>
      <w:proofErr w:type="spellEnd"/>
      <w:r>
        <w:rPr>
          <w:sz w:val="24"/>
        </w:rPr>
        <w:t xml:space="preserve"> quale espressione adeguata dell’azione salvifica universale di Dio. Tale azione si realizza certo in Gesù Cristo, «sacramento della volontà salvifica di Dio», ma non si esaurisce nella sua vicenda storica finita e particolare. E’ quanto emerge da alcune espressioni di J. </w:t>
      </w:r>
      <w:proofErr w:type="spellStart"/>
      <w:r>
        <w:rPr>
          <w:sz w:val="24"/>
        </w:rPr>
        <w:t>Dupuis</w:t>
      </w:r>
      <w:proofErr w:type="spellEnd"/>
      <w:r>
        <w:rPr>
          <w:sz w:val="24"/>
        </w:rPr>
        <w:t xml:space="preserve">: «La coscienza umana di Gesù in quanto Figlio non poteva, per sua natura, esaurire il mistero divino, e perciò lasciò incompleta la rivelazione di Dio… L’azione salvifica di Dio per mezzo del </w:t>
      </w:r>
      <w:r>
        <w:rPr>
          <w:i/>
          <w:iCs/>
          <w:sz w:val="24"/>
        </w:rPr>
        <w:t>Logos</w:t>
      </w:r>
      <w:r>
        <w:rPr>
          <w:sz w:val="24"/>
        </w:rPr>
        <w:t xml:space="preserve"> non incarnato… persiste anche dopo l’incarnazione. […] Per quanto inseparabili, il Verbo divino e l’esistenza umana di Gesù rimangono tuttavia distinti»</w:t>
      </w:r>
      <w:r w:rsidRPr="00E04604">
        <w:rPr>
          <w:rStyle w:val="Rimandonotaapidipagina"/>
          <w:sz w:val="20"/>
        </w:rPr>
        <w:footnoteReference w:id="17"/>
      </w:r>
      <w:r>
        <w:rPr>
          <w:sz w:val="24"/>
        </w:rPr>
        <w:t xml:space="preserve">. In questo modo da un lato si può attribuire l’universalità dell’azione salvifica divina al Logos anziché a Gesù Cristo e dall’altro si riesce a mantenere il valore salvifico delle altre </w:t>
      </w:r>
      <w:r>
        <w:rPr>
          <w:sz w:val="24"/>
        </w:rPr>
        <w:lastRenderedPageBreak/>
        <w:t xml:space="preserve">tradizioni religiose, in cui opera il Logos, anche «al di là» della mediazione di Gesù Cristo. La mediazione salvifica di Cristo è costitutiva di ogni esperienza di salvezza, ma relativa all’azione universale del Logos e quindi alle altre tradizioni religiose. E come l’infinita ricchezza del Logos non si esaurisce in Gesù, così la ricchezza delle altre tradizioni religiose rimane intatta accanto alla rivelazione. </w:t>
      </w:r>
    </w:p>
    <w:p w:rsidR="007D464A" w:rsidRDefault="007D464A" w:rsidP="007D464A">
      <w:pPr>
        <w:pStyle w:val="Corpotesto"/>
        <w:rPr>
          <w:sz w:val="24"/>
        </w:rPr>
      </w:pPr>
    </w:p>
    <w:p w:rsidR="00AA5D94" w:rsidRDefault="007D464A" w:rsidP="007D464A">
      <w:pPr>
        <w:jc w:val="both"/>
      </w:pPr>
      <w:r>
        <w:t xml:space="preserve">(c) In altri termini: questo tipo di considerazione dell’azione del </w:t>
      </w:r>
      <w:r>
        <w:rPr>
          <w:i/>
          <w:iCs/>
        </w:rPr>
        <w:t xml:space="preserve">Logos </w:t>
      </w:r>
      <w:proofErr w:type="spellStart"/>
      <w:r>
        <w:rPr>
          <w:i/>
          <w:iCs/>
        </w:rPr>
        <w:t>asarkos</w:t>
      </w:r>
      <w:proofErr w:type="spellEnd"/>
      <w:r>
        <w:t xml:space="preserve"> presuppone una </w:t>
      </w:r>
      <w:r>
        <w:rPr>
          <w:i/>
          <w:iCs/>
        </w:rPr>
        <w:t>comprensione della rivelazione e della salvezza che non sono determinate dall’avvenimento concreto di Gesù</w:t>
      </w:r>
      <w:r>
        <w:t>. C’è insomma un’attività del Logos che salva indipendentemente da ciò che si realizza nella storia del crocifisso-risorto. La stessa incarnazione può allora essere intesa come un contatto salvifico di Dio con l’uomo, un’unione che si realizza a diversi livelli e in diversi tempi nella storia e quindi anche in Gesù. Ma non è la vicenda di Gesù a realizzare/fondare nella sua storia quel contatto salvifico di Dio con l’uomo. La verità rivelata e la sua portata salvifica sono qualcosa di precostituito al suo accadere in Gesù. L’evento cristologico è ridotto a contenitore di lusso di una realtà già data, indipendentemente da Gesù Cristo. In Gesù si realizza un incontro di Dio con l’uomo radicato altrove, e rispetto al quale la storia del Figlio non è l’evento che opera/fonda la nostra salvezza.</w:t>
      </w:r>
    </w:p>
    <w:p w:rsidR="007D464A" w:rsidRDefault="007D464A" w:rsidP="007D464A">
      <w:pPr>
        <w:jc w:val="both"/>
      </w:pPr>
    </w:p>
    <w:p w:rsidR="002A18BF" w:rsidRDefault="00DB1A3E" w:rsidP="002A18BF">
      <w:pPr>
        <w:jc w:val="both"/>
      </w:pPr>
      <w:r>
        <w:t xml:space="preserve">2.3.3. </w:t>
      </w:r>
      <w:r w:rsidRPr="00DB1A3E">
        <w:rPr>
          <w:i/>
        </w:rPr>
        <w:t>L’elemento pneumatologico: l’azione dello Spirito nelle religioni</w:t>
      </w:r>
      <w:r>
        <w:t xml:space="preserve">. </w:t>
      </w:r>
      <w:r w:rsidR="002A18BF">
        <w:t>La sfida del pluralismo religioso invita a ripensare ai rapporti tra le religioni e le culture a partire dall’esperienza spirituale e quindi in relazione alla presenza e azione dello Spirito, più che in base a differenze dottrinali o teologiche:</w:t>
      </w:r>
    </w:p>
    <w:p w:rsidR="002A18BF" w:rsidRDefault="002A18BF" w:rsidP="002A18BF">
      <w:pPr>
        <w:pStyle w:val="Citazione"/>
        <w:spacing w:before="0" w:after="0"/>
        <w:rPr>
          <w:sz w:val="22"/>
        </w:rPr>
      </w:pPr>
    </w:p>
    <w:p w:rsidR="002A18BF" w:rsidRDefault="002A18BF" w:rsidP="002A18BF">
      <w:pPr>
        <w:pStyle w:val="Citazione"/>
        <w:spacing w:before="0" w:after="0"/>
        <w:rPr>
          <w:sz w:val="22"/>
        </w:rPr>
      </w:pPr>
      <w:r>
        <w:rPr>
          <w:sz w:val="22"/>
        </w:rPr>
        <w:t xml:space="preserve">Abbiamo mostrato che l’universalità della presenza dello Spirito è stata oggetto di una sottolineatura crescente da parte del magistero della chiesa recente [dal Vaticano II alla </w:t>
      </w:r>
      <w:proofErr w:type="spellStart"/>
      <w:r w:rsidRPr="008878E4">
        <w:rPr>
          <w:i/>
          <w:sz w:val="22"/>
        </w:rPr>
        <w:t>Redemptoris</w:t>
      </w:r>
      <w:proofErr w:type="spellEnd"/>
      <w:r w:rsidRPr="008878E4">
        <w:rPr>
          <w:i/>
          <w:sz w:val="22"/>
        </w:rPr>
        <w:t xml:space="preserve"> </w:t>
      </w:r>
      <w:proofErr w:type="spellStart"/>
      <w:r w:rsidRPr="008878E4">
        <w:rPr>
          <w:i/>
          <w:sz w:val="22"/>
        </w:rPr>
        <w:t>missio</w:t>
      </w:r>
      <w:proofErr w:type="spellEnd"/>
      <w:r>
        <w:rPr>
          <w:sz w:val="22"/>
        </w:rPr>
        <w:t>]</w:t>
      </w:r>
      <w:r>
        <w:rPr>
          <w:i/>
          <w:sz w:val="22"/>
        </w:rPr>
        <w:t xml:space="preserve"> </w:t>
      </w:r>
      <w:r>
        <w:rPr>
          <w:sz w:val="22"/>
        </w:rPr>
        <w:t xml:space="preserve">– anche se non è detto che le implicazioni di tale presenza per la teologia delle religioni siano state esplicitate in maniera adeguata. Lo Spirito santo è visto come presente non soltanto nelle persone, ma nelle culture e nelle religioni: La presenza e l’attività dello Spirito non toccano solo gli individui, ma la società e la storia, i popoli, le culture, le religioni. Lo Spirito, infatti, sta all’origine dei nobili ideali e delle iniziative di bene dell’umanità in cammino. </w:t>
      </w:r>
      <w:r w:rsidRPr="005B2873">
        <w:rPr>
          <w:sz w:val="22"/>
        </w:rPr>
        <w:t>È</w:t>
      </w:r>
      <w:r>
        <w:rPr>
          <w:sz w:val="22"/>
        </w:rPr>
        <w:t xml:space="preserve"> ancora lo Spirito che sparge i «semi del Verbo», presenti nei riti e nelle culture e li prepara a maturare in Cristo. Elementi di «verità e di grazia» sono perciò presenti nelle culture e nelle religioni umane in virtù dell’azione combinata del Verbo di Dio e del suo Spirito. A questo punto è sufficiente un piccolo passo per giungere al riconoscimento di una funzione mediatrice di tali religioni nel comunicare ai rispettivi aderenti l’offerta di grazia e salvezza di Dio e nel dare espressione alla loro risposta positiva al dono grazioso che quest’ultimo fa di sé. Il Verbo e lo Spirito – le due mani di Dio (sant’Ireneo) – cooperano mediante la loro azione universale a conferire verità e grazia alla vita religiosa delle persone e ad inscrivere «valori salvifici» nelle tradizioni religiose cui esse appartengono</w:t>
      </w:r>
      <w:r>
        <w:rPr>
          <w:rStyle w:val="Rimandonotaapidipagina"/>
          <w:sz w:val="22"/>
        </w:rPr>
        <w:footnoteReference w:id="18"/>
      </w:r>
      <w:r>
        <w:rPr>
          <w:sz w:val="22"/>
        </w:rPr>
        <w:t>.</w:t>
      </w:r>
    </w:p>
    <w:p w:rsidR="002A18BF" w:rsidRPr="00F227BC" w:rsidRDefault="002A18BF" w:rsidP="002A18BF">
      <w:pPr>
        <w:pStyle w:val="Corpotesto"/>
        <w:rPr>
          <w:szCs w:val="22"/>
        </w:rPr>
      </w:pPr>
    </w:p>
    <w:p w:rsidR="002A18BF" w:rsidRDefault="002A18BF" w:rsidP="002A18BF">
      <w:pPr>
        <w:pStyle w:val="Corpotesto"/>
        <w:rPr>
          <w:sz w:val="24"/>
        </w:rPr>
      </w:pPr>
      <w:r>
        <w:rPr>
          <w:sz w:val="24"/>
        </w:rPr>
        <w:t xml:space="preserve">A questo livello l’istanza pneumatologica corregge le unilateralità di certo «cristocentrismo o </w:t>
      </w:r>
      <w:proofErr w:type="spellStart"/>
      <w:r>
        <w:rPr>
          <w:sz w:val="24"/>
        </w:rPr>
        <w:t>logocentrismo</w:t>
      </w:r>
      <w:proofErr w:type="spellEnd"/>
      <w:r>
        <w:rPr>
          <w:sz w:val="24"/>
        </w:rPr>
        <w:t>», cercando di favorire quell’approccio positivo alle altre esperienze religiose, che permette appunto una sana teologia (trinitaria) delle religioni in contesto pluralista</w:t>
      </w:r>
      <w:r w:rsidRPr="00510DED">
        <w:rPr>
          <w:rStyle w:val="Rimandonotaapidipagina"/>
          <w:szCs w:val="22"/>
        </w:rPr>
        <w:footnoteReference w:id="19"/>
      </w:r>
      <w:r>
        <w:rPr>
          <w:sz w:val="24"/>
        </w:rPr>
        <w:t>:</w:t>
      </w:r>
    </w:p>
    <w:p w:rsidR="002A18BF" w:rsidRDefault="002A18BF" w:rsidP="002A18BF">
      <w:pPr>
        <w:pStyle w:val="Citazione"/>
        <w:spacing w:before="0" w:after="0" w:line="240" w:lineRule="auto"/>
        <w:rPr>
          <w:sz w:val="22"/>
        </w:rPr>
      </w:pPr>
    </w:p>
    <w:p w:rsidR="002A18BF" w:rsidRDefault="002A18BF" w:rsidP="002A18BF">
      <w:pPr>
        <w:pStyle w:val="Citazione"/>
        <w:spacing w:before="0" w:after="0"/>
        <w:rPr>
          <w:sz w:val="22"/>
        </w:rPr>
      </w:pPr>
      <w:r>
        <w:rPr>
          <w:sz w:val="22"/>
        </w:rPr>
        <w:t xml:space="preserve">Libero da ogni vincolo, lo Spirito «soffia dove vuole». Lo Spirito di Dio è sempre stato universalmente presente nella storia umana ed è tuttora attivo al di fuori dei confini del gregge cristiano. </w:t>
      </w:r>
      <w:r w:rsidRPr="00D50328">
        <w:rPr>
          <w:sz w:val="22"/>
        </w:rPr>
        <w:t>È</w:t>
      </w:r>
      <w:r>
        <w:rPr>
          <w:sz w:val="22"/>
        </w:rPr>
        <w:t xml:space="preserve"> lui ad «ispirare» nelle persone che appartengono alle altre tradizioni l’obbedienza della fede salvifica e, nelle stesse tradizioni, una parola rivolta da Dio ai loro aderenti. Non si potrebbe infatti pensare che, mentre i cristiani ottengono la salvezza mediante l’economia del Figlio di Dio incarnato in Gesù Cristo, gli altri la ricevano attraverso l’azione autonoma immediata dello Spirito di Dio? L’«indipendenza ipostatica» o distinzione personale delle due «mani» di Dio garantisce i due canali distinti attraverso cui la presenza salvifica di Dio raggiunge le persone in due differenti economie di salvezza. In breve, essendo lo Spirito </w:t>
      </w:r>
      <w:r>
        <w:rPr>
          <w:sz w:val="22"/>
        </w:rPr>
        <w:lastRenderedPageBreak/>
        <w:t xml:space="preserve">santo l’imprescindibile «punto d’inserzione» di Dio nella vita degli esseri umani e dei popoli, la sua azione immediata – che scavalca l’evento puntuale di Gesù Cristo – apre la via ad un diverso modello di teologia cristiana delle religioni, un modello non più cristocentrico, ma </w:t>
      </w:r>
      <w:proofErr w:type="spellStart"/>
      <w:r>
        <w:rPr>
          <w:sz w:val="22"/>
        </w:rPr>
        <w:t>pneumatocentrico</w:t>
      </w:r>
      <w:proofErr w:type="spellEnd"/>
      <w:r>
        <w:rPr>
          <w:sz w:val="22"/>
        </w:rPr>
        <w:t xml:space="preserve">… Può tuttavia un modello incentrato sullo Spirito essere separato dal modello cristologico? Sembrerebbe di no. </w:t>
      </w:r>
      <w:r w:rsidRPr="00D50328">
        <w:rPr>
          <w:sz w:val="22"/>
        </w:rPr>
        <w:t>È</w:t>
      </w:r>
      <w:r>
        <w:rPr>
          <w:sz w:val="22"/>
        </w:rPr>
        <w:t xml:space="preserve"> necessario affermare chiaramente l’universalità dell’azione dello Spirito nel corso della storia umana, sia prima che dopo l’evento storico di Gesù Cristo. Ma la fede cristiana ritiene che l’azione dello Spirito e quella di Gesù Cristo, sebbene distinte, siano nondimeno complementari e inseparabili. </w:t>
      </w:r>
      <w:proofErr w:type="spellStart"/>
      <w:r>
        <w:rPr>
          <w:sz w:val="22"/>
        </w:rPr>
        <w:t>Pneumatocentrismo</w:t>
      </w:r>
      <w:proofErr w:type="spellEnd"/>
      <w:r>
        <w:rPr>
          <w:sz w:val="22"/>
        </w:rPr>
        <w:t xml:space="preserve"> e cristocentrismo non possono pertanto essere interpretati come due distinte economie di salvezza, l’una parallela all’altra. Essi costituiscono due aspetti inseparabili, o due elementi complementari, di un’unica economia di salvezza</w:t>
      </w:r>
      <w:r>
        <w:rPr>
          <w:rStyle w:val="Rimandonotaapidipagina"/>
          <w:sz w:val="22"/>
        </w:rPr>
        <w:footnoteReference w:id="20"/>
      </w:r>
      <w:r>
        <w:rPr>
          <w:sz w:val="22"/>
        </w:rPr>
        <w:t>.</w:t>
      </w:r>
    </w:p>
    <w:p w:rsidR="002A18BF" w:rsidRPr="002F7F32" w:rsidRDefault="002A18BF" w:rsidP="002A18BF">
      <w:pPr>
        <w:pStyle w:val="Corpotesto"/>
      </w:pPr>
    </w:p>
    <w:p w:rsidR="002A18BF" w:rsidRDefault="002A18BF" w:rsidP="002A18BF">
      <w:pPr>
        <w:spacing w:line="264" w:lineRule="atLeast"/>
        <w:jc w:val="both"/>
      </w:pPr>
      <w:r>
        <w:t>La centralità di Cristo e l’universalità dell’azione del Verbo non tolgono del resto spazio all’azione universale dello Spirito:</w:t>
      </w:r>
    </w:p>
    <w:p w:rsidR="002A18BF" w:rsidRDefault="002A18BF" w:rsidP="002A18BF">
      <w:pPr>
        <w:ind w:left="170" w:right="170"/>
        <w:jc w:val="both"/>
        <w:rPr>
          <w:sz w:val="22"/>
        </w:rPr>
      </w:pPr>
    </w:p>
    <w:p w:rsidR="002A18BF" w:rsidRDefault="002A18BF" w:rsidP="002A18BF">
      <w:pPr>
        <w:ind w:left="170" w:right="170"/>
        <w:jc w:val="both"/>
        <w:rPr>
          <w:sz w:val="22"/>
        </w:rPr>
      </w:pPr>
      <w:r>
        <w:rPr>
          <w:sz w:val="22"/>
        </w:rPr>
        <w:t>La particolarità storica dell’evento Cristo, combinata con il suo significato salvifico universale, lascia dunque spazio per un’azione salvifica del Verbo come tale. Va aggiunto, d’altro canto, che la prospettiva trinitaria conduce a fare osservazioni circa una presenza universale dello Spirito Santo, analoghe a quelle riguardanti l’azione permanente del Verbo come tale. Una cristologia dello Spirito aiuta a vedere che lo Spirito di Dio è universalmente presente ed attivo, prima e dopo l’evento Cristo. L’evento Cristo tanto risulta dall’operare dello Spirito nel mondo quanto ne è la sorgente. Fra ambedue gli aspetti vi è una «relazione di reciproco condizionamento», in virtù della quale lo Spirito può giustamente essere chiamato, nel corso di tutta la storia della salvezza, lo «Spirito di Cristo». L’economia salvifica di Dio è una sola; di essa l’evento Cristo è al tempo stesso il punto culminante e il sacramento universale; ma il Dio che salva è tri-personale: ciascuno dei tre è personalmente distinto e rimane attivo in maniera distinta. Dio salva «con due mani», il Verbo e lo Spirito, scrisse s. Ireneo nel II secolo (</w:t>
      </w:r>
      <w:proofErr w:type="spellStart"/>
      <w:r w:rsidRPr="00444367">
        <w:rPr>
          <w:i/>
          <w:sz w:val="22"/>
        </w:rPr>
        <w:t>Adv</w:t>
      </w:r>
      <w:proofErr w:type="spellEnd"/>
      <w:r w:rsidRPr="00444367">
        <w:rPr>
          <w:i/>
          <w:sz w:val="22"/>
        </w:rPr>
        <w:t xml:space="preserve">. </w:t>
      </w:r>
      <w:proofErr w:type="spellStart"/>
      <w:r w:rsidRPr="00444367">
        <w:rPr>
          <w:i/>
          <w:sz w:val="22"/>
        </w:rPr>
        <w:t>Haer</w:t>
      </w:r>
      <w:proofErr w:type="spellEnd"/>
      <w:r w:rsidRPr="00444367">
        <w:rPr>
          <w:i/>
          <w:sz w:val="22"/>
        </w:rPr>
        <w:t>.</w:t>
      </w:r>
      <w:r>
        <w:rPr>
          <w:sz w:val="22"/>
        </w:rPr>
        <w:t xml:space="preserve"> IV,7.4). Il magistero recente della Chiesa ha insistito sull’universalità della presenza attiva dello Spirito. Ci si chiede, però, se dopo l’evento Cristo la comunicazione dello Spirito e la sua presenza attiva nel mondo si realizzino elusivamente attraverso l’umanità glorificata di Gesù Cristo o, al contrario, possano anche superarne i limiti. In altre parole, lo Spirito di Dio è diventato a tal punto lo «Spirito di Cristo» da non poter più farsi presente ed attivo oltre la comunicazione che ne viene fatta dal Cristo risorto, in modo tale che la sua opera sia ormai circoscritta da quella del Cristo risorto e, in questo senso, limitata? Nel NT e in particolare in san Paolo lo Spirito viene chiamato sia «Spirito di Dio», sia «Spirito di Cristo»… Rimane comunque il fatto che lo Spirito viene più spesso chiamato lo «Spirito di Dio»… Lo Spirito che ci viene comunicato è fondamentalmente lo Spirito di Dio… La metafora adoperata da Ireneo delle «due mani di Dio» può aiutare a chiarire l’attività distinta dello Spirito in virtù della distinta identità personale… Ciò significa che, pur essendo unite e inseparabili, sono anche distinte e complementari nella loro distinzione. L’attività dell’una è distinta da quella dell’altra; è infatti la coincidenza e la sinergia delle due attività distinte a produrre l’effetto salvifico. Nessuna delle due può essere ridotta a rappresentare una mera “funzione” nei riguardi dell’altra; invece tutte e due le opere convergono nel realizzare una sola economia di salvezza. Dio agisce con tutte e due le sue mani. Alla luce di questa metafora diventa forse più facile capire che la comunicazione dello Spirito ad opera del Cristo risorto non esaurisce necessariamente l’attività dello Spirito dopo l’evento Cristo. </w:t>
      </w:r>
      <w:r w:rsidRPr="007023EF">
        <w:rPr>
          <w:sz w:val="22"/>
        </w:rPr>
        <w:t>È</w:t>
      </w:r>
      <w:r>
        <w:rPr>
          <w:sz w:val="22"/>
        </w:rPr>
        <w:t xml:space="preserve"> risaputo che la tradizione orientale e ortodossa ha spesso mosso, contro quella occidentale, l’accusa di promuovere un “</w:t>
      </w:r>
      <w:proofErr w:type="spellStart"/>
      <w:r>
        <w:rPr>
          <w:sz w:val="22"/>
        </w:rPr>
        <w:t>cirstomonismo</w:t>
      </w:r>
      <w:proofErr w:type="spellEnd"/>
      <w:r>
        <w:rPr>
          <w:sz w:val="22"/>
        </w:rPr>
        <w:t>” teologico in cui lo Spirito Santo viene ridotto ad essere una “funzione” di Cristo… Mentre è vero che non si può costruire un’economia “autonoma” dello Spirito, slegata da quella del Verbo incarnato, è altrettanto vero che lo Spirito non può essere ridotto ad una funzione del Cristo risorto, essendone per così dire il “vicario”. Perderebbe così lo Spirito la pienezza della sua operatività salvifica personale… Il rischio della tradizione latina di una riduzione dell’attività salvifica dello Spirito nell’economia divina non è pertanto illusoria… Più discreta e sfumata, ma forse non meno insoddisfacente, sarebbe l’opinione secondo cui l’azione salvante e vivificante dello Spirito consiste tutta nella comunicazione che ne fa il Signore risorto… Afferma chiaramente il Concilio Vaticano II (</w:t>
      </w:r>
      <w:r w:rsidRPr="00C0597C">
        <w:rPr>
          <w:i/>
          <w:sz w:val="22"/>
        </w:rPr>
        <w:t xml:space="preserve">Ad </w:t>
      </w:r>
      <w:proofErr w:type="spellStart"/>
      <w:r w:rsidRPr="00C0597C">
        <w:rPr>
          <w:i/>
          <w:sz w:val="22"/>
        </w:rPr>
        <w:t>Gentes</w:t>
      </w:r>
      <w:proofErr w:type="spellEnd"/>
      <w:r>
        <w:rPr>
          <w:sz w:val="22"/>
        </w:rPr>
        <w:t xml:space="preserve"> 4) e ribadisce con insistenza il magistero ecclesiale recente (</w:t>
      </w:r>
      <w:proofErr w:type="spellStart"/>
      <w:r>
        <w:rPr>
          <w:sz w:val="22"/>
        </w:rPr>
        <w:t>cf</w:t>
      </w:r>
      <w:proofErr w:type="spellEnd"/>
      <w:r>
        <w:rPr>
          <w:sz w:val="22"/>
        </w:rPr>
        <w:t xml:space="preserve"> in particolare l’enciclica </w:t>
      </w:r>
      <w:proofErr w:type="spellStart"/>
      <w:r w:rsidRPr="00C0597C">
        <w:rPr>
          <w:i/>
          <w:sz w:val="22"/>
        </w:rPr>
        <w:t>Dominum</w:t>
      </w:r>
      <w:proofErr w:type="spellEnd"/>
      <w:r w:rsidRPr="00C0597C">
        <w:rPr>
          <w:i/>
          <w:sz w:val="22"/>
        </w:rPr>
        <w:t xml:space="preserve"> et </w:t>
      </w:r>
      <w:proofErr w:type="spellStart"/>
      <w:r w:rsidRPr="00C0597C">
        <w:rPr>
          <w:i/>
          <w:sz w:val="22"/>
        </w:rPr>
        <w:t>Vivificantem</w:t>
      </w:r>
      <w:proofErr w:type="spellEnd"/>
      <w:r>
        <w:rPr>
          <w:sz w:val="22"/>
        </w:rPr>
        <w:t xml:space="preserve"> 53) che lo Spirito era già presente e operante prima della glorificazione di Cristo, anzi, prima dell’evento Gesù Cristo, attraverso l’intera storia, fina dalla creazione. Ben inteso che «questo </w:t>
      </w:r>
      <w:r>
        <w:rPr>
          <w:sz w:val="22"/>
        </w:rPr>
        <w:lastRenderedPageBreak/>
        <w:t>Spirito è lo stesso che ha operato nell’incarnazione, nella vita morte e risurrezione di Gesù ed opera nella chiesa. Non è, dunque, alternativo a Cristo, né riempie una specie di vuoto, come talvolta si ipotizza esserci tra Cristo e il Logos. Quanto lo Spirito opera nel cuore degli uomini e nella storia dei popoli, nelle culture e religioni, assume un ruolo di preparazione evangelica e non può non avere riferimento a Cristo» (</w:t>
      </w:r>
      <w:proofErr w:type="spellStart"/>
      <w:r w:rsidRPr="00C97FB3">
        <w:rPr>
          <w:i/>
          <w:sz w:val="22"/>
        </w:rPr>
        <w:t>Redemptoris</w:t>
      </w:r>
      <w:proofErr w:type="spellEnd"/>
      <w:r w:rsidRPr="00C97FB3">
        <w:rPr>
          <w:i/>
          <w:sz w:val="22"/>
        </w:rPr>
        <w:t xml:space="preserve"> </w:t>
      </w:r>
      <w:proofErr w:type="spellStart"/>
      <w:r w:rsidRPr="00C97FB3">
        <w:rPr>
          <w:i/>
          <w:sz w:val="22"/>
        </w:rPr>
        <w:t>missio</w:t>
      </w:r>
      <w:proofErr w:type="spellEnd"/>
      <w:r>
        <w:rPr>
          <w:sz w:val="22"/>
        </w:rPr>
        <w:t xml:space="preserve"> 29). Ciononostante, non si vede perché, mentre prima dell’evento Cristo lo Spirito fu attivo nel mondo e nella storia senza che fosse comunicato attraverso l’umanità risorta – la quale non c’era – dopo l’evento Cristo la sua attività debba poi risultare così vincolata a tale comunicazione da esserne limitata. Occorre certamente ritenere che in entrambe i casi – sia prima che dopo l’evento storico – l’effusione dello Spirito sia sempre relazionale all’evento nel quale culmina il dispiegarsi attraverso la storia del piano divino di salvezza. In tal senso si può e si deve dire che il dono dello Spirito prima dell’incarnazione sia fatto “in vista” dell’evento cristologico. Ma ciò non autorizza a dire che non si possa più concepire qualsiasi azione dello Spirito come tale dopo l’evento, pur in relazione allo stesso evento – in un modo analogo a come è stato possibile affermare un’azione del Verbo come tale… Non ci sono due economie di salvezza. Ma ambedue le mani di Dio hanno e mantengono nell’agire divino la propria identità personale. Il Verbo è «luce che illumina ogni uomo» (</w:t>
      </w:r>
      <w:proofErr w:type="spellStart"/>
      <w:r>
        <w:rPr>
          <w:sz w:val="22"/>
        </w:rPr>
        <w:t>Gv</w:t>
      </w:r>
      <w:proofErr w:type="spellEnd"/>
      <w:r>
        <w:rPr>
          <w:sz w:val="22"/>
        </w:rPr>
        <w:t xml:space="preserve"> 1,9); quanto allo Spirito , egli «soffia dove vuole» (</w:t>
      </w:r>
      <w:proofErr w:type="spellStart"/>
      <w:r>
        <w:rPr>
          <w:sz w:val="22"/>
        </w:rPr>
        <w:t>Gv</w:t>
      </w:r>
      <w:proofErr w:type="spellEnd"/>
      <w:r>
        <w:rPr>
          <w:sz w:val="22"/>
        </w:rPr>
        <w:t xml:space="preserve"> 3,8)… Una cosa è affermare diverse economie di salvezza, parallele a quella dell’evento Cristo; tutt’altra cosa è distinguere senza separazione diversi aspetti di un’unica economia di salvezza voluta da Dio per l’umanità</w:t>
      </w:r>
      <w:r>
        <w:rPr>
          <w:rStyle w:val="Rimandonotaapidipagina"/>
          <w:sz w:val="22"/>
        </w:rPr>
        <w:footnoteReference w:id="21"/>
      </w:r>
      <w:r>
        <w:rPr>
          <w:sz w:val="22"/>
        </w:rPr>
        <w:t>.</w:t>
      </w:r>
    </w:p>
    <w:p w:rsidR="002A18BF" w:rsidRPr="00B24DCF" w:rsidRDefault="002A18BF" w:rsidP="002A18BF">
      <w:pPr>
        <w:ind w:left="170" w:right="170"/>
        <w:jc w:val="both"/>
        <w:rPr>
          <w:sz w:val="22"/>
        </w:rPr>
      </w:pPr>
    </w:p>
    <w:p w:rsidR="002A18BF" w:rsidRPr="00730F90" w:rsidRDefault="002A18BF" w:rsidP="002A18BF">
      <w:pPr>
        <w:spacing w:line="264" w:lineRule="atLeast"/>
        <w:jc w:val="both"/>
      </w:pPr>
      <w:r>
        <w:t>La prospettiva pneumatologica del resto aiuterebbe a percepire meglio sia l’unicità di Gesù che la sua universalità:</w:t>
      </w:r>
    </w:p>
    <w:p w:rsidR="002A18BF" w:rsidRPr="005E0723" w:rsidRDefault="002A18BF" w:rsidP="002A18BF">
      <w:pPr>
        <w:ind w:left="142" w:right="142"/>
        <w:jc w:val="both"/>
        <w:rPr>
          <w:sz w:val="22"/>
          <w:szCs w:val="22"/>
        </w:rPr>
      </w:pPr>
    </w:p>
    <w:p w:rsidR="002A18BF" w:rsidRPr="005E0723" w:rsidRDefault="002A18BF" w:rsidP="002A18BF">
      <w:pPr>
        <w:ind w:left="142" w:right="142"/>
        <w:jc w:val="both"/>
        <w:rPr>
          <w:sz w:val="22"/>
          <w:szCs w:val="22"/>
        </w:rPr>
      </w:pPr>
      <w:r w:rsidRPr="00FB7E9C">
        <w:rPr>
          <w:sz w:val="22"/>
          <w:szCs w:val="22"/>
        </w:rPr>
        <w:t>È</w:t>
      </w:r>
      <w:r w:rsidRPr="005E0723">
        <w:rPr>
          <w:sz w:val="22"/>
          <w:szCs w:val="22"/>
        </w:rPr>
        <w:t xml:space="preserve"> indubbio che la prospettiva pneumatologica è in grado di illustrare meglio il legame tra unicità e universalità di Gesù Cristo. Lo Spirito presente in pienezza in Cristo, opera ovunque nella storia dell’umanità e perciò anche nella ricerca religiosa di ogni essere umano. La prospettiva </w:t>
      </w:r>
      <w:proofErr w:type="spellStart"/>
      <w:r w:rsidRPr="005E0723">
        <w:rPr>
          <w:sz w:val="22"/>
          <w:szCs w:val="22"/>
        </w:rPr>
        <w:t>pneumatocentrica</w:t>
      </w:r>
      <w:proofErr w:type="spellEnd"/>
      <w:r w:rsidRPr="005E0723">
        <w:rPr>
          <w:sz w:val="22"/>
          <w:szCs w:val="22"/>
        </w:rPr>
        <w:t xml:space="preserve"> se da una parte esprime il fascino di un richiamo al superamento delle divisioni fra le religioni, dall’altra parte non può giustificare le tesi della “Spirito-cristologia”... secondo le quali si vorrebbe riassumere nella simbologia di </w:t>
      </w:r>
      <w:r w:rsidRPr="005E0723">
        <w:rPr>
          <w:rFonts w:ascii="Bookman Old Style" w:hAnsi="Bookman Old Style" w:cs="Bookman Old Style"/>
          <w:sz w:val="22"/>
          <w:szCs w:val="22"/>
        </w:rPr>
        <w:t xml:space="preserve">Dio </w:t>
      </w:r>
      <w:r w:rsidRPr="005E0723">
        <w:rPr>
          <w:sz w:val="22"/>
          <w:szCs w:val="22"/>
        </w:rPr>
        <w:t>come Spirito l’esperienza religiosa universale. In questo caso lo Spirito sarebbe come il comune denominatore di una religiosità più fruibile, ma che in realtà appiattirebbe l’unicità di Cristo come mediatore universale di salvezza. Evidentemente il contesto pneumatologico nel quale oggi va collocato il pluralismo religioso non può permettersi un deficit di radicamento trinit</w:t>
      </w:r>
      <w:r w:rsidR="00C5663C">
        <w:rPr>
          <w:sz w:val="22"/>
          <w:szCs w:val="22"/>
        </w:rPr>
        <w:t>ario. Non può darsi uno pneuma-</w:t>
      </w:r>
      <w:r w:rsidRPr="005E0723">
        <w:rPr>
          <w:sz w:val="22"/>
          <w:szCs w:val="22"/>
        </w:rPr>
        <w:t>centrismo a-trinitario che condurrebbe alla dissoluzione della personalità dello Spirito Santo per farne soltanto un'espressione del divino. In altre parole è soltanto nel legame tra cristologia e pneumatologia che trova senso il paradosso cristiano della singolarità-universalità di Gesù Cristo. […] Questo contesto pneumatologico non oscura, anzi fa meglio risaltare l’unicità dell’evento Cristo, infatti è proprio nell’evento cristologico che si manifesta la più alta concentrazione dello Spirito divino nella storia della salvezza. Gesù è così «l’uomo universale» nel quale si ritrovan</w:t>
      </w:r>
      <w:r>
        <w:rPr>
          <w:sz w:val="22"/>
          <w:szCs w:val="22"/>
        </w:rPr>
        <w:t>o tutti gli aneliti di salvezza</w:t>
      </w:r>
      <w:r w:rsidRPr="005E0723">
        <w:rPr>
          <w:sz w:val="22"/>
          <w:szCs w:val="22"/>
        </w:rPr>
        <w:t>; egli partecipa la grazia dello Spirito santo essendo l’unica fonte permanente di questa donazione. Le religioni del mondo sono compenetrate, sebbene in gradi differenti, della forza sorgiva dello Spirito che opera sempre in riferimento a Cristo</w:t>
      </w:r>
      <w:r w:rsidRPr="005E0723">
        <w:rPr>
          <w:rStyle w:val="Rimandonotaapidipagina"/>
          <w:sz w:val="22"/>
          <w:szCs w:val="22"/>
        </w:rPr>
        <w:footnoteReference w:id="22"/>
      </w:r>
      <w:r w:rsidRPr="005E0723">
        <w:rPr>
          <w:sz w:val="22"/>
          <w:szCs w:val="22"/>
        </w:rPr>
        <w:t>.</w:t>
      </w:r>
    </w:p>
    <w:p w:rsidR="002A18BF" w:rsidRPr="005E0723" w:rsidRDefault="002A18BF" w:rsidP="002A18BF">
      <w:pPr>
        <w:ind w:left="142" w:right="142"/>
        <w:jc w:val="both"/>
        <w:rPr>
          <w:sz w:val="22"/>
          <w:szCs w:val="22"/>
        </w:rPr>
      </w:pPr>
    </w:p>
    <w:p w:rsidR="00790BA1" w:rsidRPr="003D752F" w:rsidRDefault="00790BA1" w:rsidP="00790BA1">
      <w:pPr>
        <w:jc w:val="both"/>
      </w:pPr>
      <w:r>
        <w:t xml:space="preserve">L’esigenza di una “correzione trinitaria” e quindi pneumatologica del cristocentrismo, in modo tale che non diventi una forma di “cristo-monismo”, è presente nella proposta di diversi teologi che si sono occupati della problematica del pluralismo. L’esigenza di fondo può essere espressa come segue. </w:t>
      </w:r>
      <w:r w:rsidRPr="003D752F">
        <w:t xml:space="preserve">Un vero cristocentrismo cristiano non può essere alternativo alla prospettiva teocentrica, che però viene reinterpretata alla luce dell’originale concezione cristiana di Dio. In tal senso diversi teologi cattolici (J. </w:t>
      </w:r>
      <w:proofErr w:type="spellStart"/>
      <w:r w:rsidRPr="003D752F">
        <w:t>Dupuis</w:t>
      </w:r>
      <w:proofErr w:type="spellEnd"/>
      <w:r w:rsidRPr="003D752F">
        <w:t xml:space="preserve">, M. Bordoni, P. Coda, M. Gronchi) insistono sulla necessità di utilizzare una forma di </w:t>
      </w:r>
      <w:r w:rsidRPr="003D752F">
        <w:rPr>
          <w:i/>
          <w:iCs/>
        </w:rPr>
        <w:t>teocentrismo trinitario</w:t>
      </w:r>
      <w:r w:rsidRPr="003D752F">
        <w:t>, capace di mettere in luce i nessi e i rimandi tra Gesù, il Figlio, e il Padre, ma anche quelli tra Figlio-Padre e Spirito:</w:t>
      </w:r>
    </w:p>
    <w:p w:rsidR="00790BA1" w:rsidRPr="00790BA1" w:rsidRDefault="00790BA1" w:rsidP="00790BA1">
      <w:pPr>
        <w:ind w:left="170" w:right="170"/>
        <w:jc w:val="both"/>
        <w:rPr>
          <w:sz w:val="22"/>
          <w:szCs w:val="22"/>
        </w:rPr>
      </w:pPr>
    </w:p>
    <w:p w:rsidR="00790BA1" w:rsidRPr="00790BA1" w:rsidRDefault="00790BA1" w:rsidP="00790BA1">
      <w:pPr>
        <w:ind w:left="170" w:right="170"/>
        <w:jc w:val="both"/>
        <w:rPr>
          <w:sz w:val="22"/>
          <w:szCs w:val="22"/>
        </w:rPr>
      </w:pPr>
      <w:r w:rsidRPr="00790BA1">
        <w:rPr>
          <w:sz w:val="22"/>
          <w:szCs w:val="22"/>
        </w:rPr>
        <w:t xml:space="preserve">L’orizzonte trinitario consente anzitutto di evitare i due scogli estremi del rapporto tra cristianesimo e le altre religioni: quello del modello esclusivista e quello del pluralismo teocentrico e </w:t>
      </w:r>
      <w:proofErr w:type="spellStart"/>
      <w:r w:rsidRPr="00790BA1">
        <w:rPr>
          <w:sz w:val="22"/>
          <w:szCs w:val="22"/>
        </w:rPr>
        <w:t>soteriocentrico</w:t>
      </w:r>
      <w:proofErr w:type="spellEnd"/>
      <w:r w:rsidRPr="00790BA1">
        <w:rPr>
          <w:sz w:val="22"/>
          <w:szCs w:val="22"/>
        </w:rPr>
        <w:t xml:space="preserve">. Ciò </w:t>
      </w:r>
      <w:r w:rsidRPr="00790BA1">
        <w:rPr>
          <w:sz w:val="22"/>
          <w:szCs w:val="22"/>
        </w:rPr>
        <w:lastRenderedPageBreak/>
        <w:t xml:space="preserve">avviene attraverso una chiarificazione del rapporto tra Gesù e Dio: infatti la teologia delle religioni deve evitare sia una “pura e semplice identificazione” tra Gesù e Dio, sia una loro “non-identificazione”. Una pura e semplice identificazione tra Gesù e Dio porterebbe ad un </w:t>
      </w:r>
      <w:proofErr w:type="spellStart"/>
      <w:r w:rsidRPr="00790BA1">
        <w:rPr>
          <w:sz w:val="22"/>
          <w:szCs w:val="22"/>
        </w:rPr>
        <w:t>cristomonismo</w:t>
      </w:r>
      <w:proofErr w:type="spellEnd"/>
      <w:r w:rsidRPr="00790BA1">
        <w:rPr>
          <w:sz w:val="22"/>
          <w:szCs w:val="22"/>
        </w:rPr>
        <w:t xml:space="preserve"> e conseguente </w:t>
      </w:r>
      <w:proofErr w:type="spellStart"/>
      <w:r w:rsidRPr="00790BA1">
        <w:rPr>
          <w:sz w:val="22"/>
          <w:szCs w:val="22"/>
        </w:rPr>
        <w:t>ecclesiocentrismo</w:t>
      </w:r>
      <w:proofErr w:type="spellEnd"/>
      <w:r w:rsidRPr="00790BA1">
        <w:rPr>
          <w:sz w:val="22"/>
          <w:szCs w:val="22"/>
        </w:rPr>
        <w:t xml:space="preserve">, opponendo l’unicità cristiana alla pluralità religiosa secondo il modello esclusivista. Ma una pura e semplice non-identificazione tra Gesù e Dio porterebbe a un teocentrismo che emarginerebbe la persona di Gesù-Cristo, la sua mediazione, ponendo la sua figura singolare ed unica nella parità con tutte le altre mediazioni storiche. L’affermazione che Gesù è Dio, per essere rettamente intesa, deve essere collocata in una visione trinitaria secondo la norma dogmatica nicena… Pertanto, contro ogni </w:t>
      </w:r>
      <w:proofErr w:type="spellStart"/>
      <w:r w:rsidRPr="00790BA1">
        <w:rPr>
          <w:sz w:val="22"/>
          <w:szCs w:val="22"/>
        </w:rPr>
        <w:t>cristomonismo</w:t>
      </w:r>
      <w:proofErr w:type="spellEnd"/>
      <w:r w:rsidRPr="00790BA1">
        <w:rPr>
          <w:sz w:val="22"/>
          <w:szCs w:val="22"/>
        </w:rPr>
        <w:t xml:space="preserve"> esclusivista, si deve sottolineare che sebbene noi giungiamo a conoscere il Padre mediante Gesù, tuttavia “Gesù non è il Padre”. E ciò sia in ragione della sua umanità, sia in ragione (trinitaria) della sua </w:t>
      </w:r>
      <w:proofErr w:type="spellStart"/>
      <w:r w:rsidRPr="00790BA1">
        <w:rPr>
          <w:sz w:val="22"/>
          <w:szCs w:val="22"/>
        </w:rPr>
        <w:t>filialità</w:t>
      </w:r>
      <w:proofErr w:type="spellEnd"/>
      <w:r w:rsidRPr="00790BA1">
        <w:rPr>
          <w:sz w:val="22"/>
          <w:szCs w:val="22"/>
        </w:rPr>
        <w:t xml:space="preserve">. Pertanto, ogni tentativo di monopolizzare Dio solo nei termini di Gesù… non riesce a rendere conto della pienezza dell’auto-rivelazione di Dio. Questa, infatti, quale rivelazione del Padre, si compie non solo mediante il Figlio… ma anche mediante lo Spirito. Ma d’altra parte contro ogni pluralismo teocentrico va ugualmente affermato che “Gesù è Dio”, nel senso che Gesù, quale Figlio incarnato del Padre, è Dio come il Padre… Questa prospettiva ci consente meglio di cogliere la singolarità-universalità di Cristo e del cristianesimo, nel contesto dell’unità sostanziale-pluralità personale trinitaria. Anzitutto, infatti, la dottrina trinitaria… consente pure di illuminare il principio dell’unicità del Cristo o del cristianesimo portando ad affermare che “assolutezza e relazionalità” non si oppongono, ma vanno, al contrario, prese insieme. Affermare l’assolutezza dell’evento singolare del Cristo non comporta affatto una posizione esclusivista, così come nella dottrina trinitaria l’assoluto trascendente divino non assorbe ma al contrario fonda l’alterità interpersonale. E, d’altra parte, il relazionale, che definisce l’unicità-singolarità del Cristo e del cristianesimo, nel contesto della distinzione, dell’alterità e pluralità religiosa, intanto può evitare il pericolo di una caduta nel relativismo pluralistico, nella misura in cui la relazionalità non fa economia del linguaggio di un’unicità assoluta, così come la “relazionalità” trinitaria delle persone non implica alcun triteismo, in forza dell’assoluto unico della sostanza divina. Inoltre, in merito all’altro legame </w:t>
      </w:r>
      <w:proofErr w:type="spellStart"/>
      <w:r w:rsidRPr="00790BA1">
        <w:rPr>
          <w:sz w:val="22"/>
          <w:szCs w:val="22"/>
        </w:rPr>
        <w:t>indissolvibile</w:t>
      </w:r>
      <w:proofErr w:type="spellEnd"/>
      <w:r w:rsidRPr="00790BA1">
        <w:rPr>
          <w:sz w:val="22"/>
          <w:szCs w:val="22"/>
        </w:rPr>
        <w:t xml:space="preserve"> tra “singolarità” ed “universalità” del Cristo e del cristianesimo, la dottrina trinitaria consente una loro fondazione nella generazione e spirazione divina: infatti, la singolarità poggia soprattutto sull’eterna generazione del Figlio… mentre l’universalità può essere meglio sviluppata sul fondamento dell’</w:t>
      </w:r>
      <w:proofErr w:type="spellStart"/>
      <w:r w:rsidRPr="00790BA1">
        <w:rPr>
          <w:i/>
          <w:iCs/>
          <w:sz w:val="22"/>
          <w:szCs w:val="22"/>
        </w:rPr>
        <w:t>ekporeusis</w:t>
      </w:r>
      <w:proofErr w:type="spellEnd"/>
      <w:r w:rsidRPr="00790BA1">
        <w:rPr>
          <w:sz w:val="22"/>
          <w:szCs w:val="22"/>
        </w:rPr>
        <w:t xml:space="preserve"> (spirazione) dello Spirito Santo che si prolunga temporalmente nella sua missione e per la quale il concreto-singolare storico “Gesù di </w:t>
      </w:r>
      <w:proofErr w:type="spellStart"/>
      <w:r w:rsidRPr="00790BA1">
        <w:rPr>
          <w:sz w:val="22"/>
          <w:szCs w:val="22"/>
        </w:rPr>
        <w:t>Nazaret</w:t>
      </w:r>
      <w:proofErr w:type="spellEnd"/>
      <w:r w:rsidRPr="00790BA1">
        <w:rPr>
          <w:sz w:val="22"/>
          <w:szCs w:val="22"/>
        </w:rPr>
        <w:t>” può essere considerato “l’universale” in quanto, nello Spirito, realizza la sua “presenza salvifica” nella totalità della storia umana</w:t>
      </w:r>
      <w:r w:rsidRPr="00790BA1">
        <w:rPr>
          <w:rStyle w:val="Rimandonotaapidipagina"/>
          <w:sz w:val="22"/>
          <w:szCs w:val="22"/>
        </w:rPr>
        <w:footnoteReference w:id="23"/>
      </w:r>
      <w:r w:rsidRPr="00790BA1">
        <w:rPr>
          <w:sz w:val="22"/>
          <w:szCs w:val="22"/>
        </w:rPr>
        <w:t>.</w:t>
      </w:r>
    </w:p>
    <w:p w:rsidR="00790BA1" w:rsidRPr="003D752F" w:rsidRDefault="00790BA1" w:rsidP="00790BA1">
      <w:pPr>
        <w:ind w:left="170" w:right="170"/>
        <w:jc w:val="both"/>
      </w:pPr>
    </w:p>
    <w:p w:rsidR="00790BA1" w:rsidRPr="003D752F" w:rsidRDefault="00790BA1" w:rsidP="00790BA1">
      <w:pPr>
        <w:jc w:val="both"/>
      </w:pPr>
      <w:r w:rsidRPr="003D752F">
        <w:t>Si tratta quindi di pensare alla singolarità di Gesù, alla sua storicità normativa, in un orizzonte trinitario. In tal senso si può parlare di un «radicamento trinitario» della singolarità di Gesù</w:t>
      </w:r>
      <w:r w:rsidRPr="003D752F">
        <w:rPr>
          <w:rStyle w:val="Rimandonotaapidipagina"/>
        </w:rPr>
        <w:footnoteReference w:id="24"/>
      </w:r>
      <w:r w:rsidRPr="003D752F">
        <w:t xml:space="preserve">. </w:t>
      </w:r>
    </w:p>
    <w:p w:rsidR="00790BA1" w:rsidRPr="00790BA1" w:rsidRDefault="00790BA1" w:rsidP="00790BA1">
      <w:pPr>
        <w:ind w:left="170" w:right="170"/>
        <w:jc w:val="both"/>
        <w:rPr>
          <w:sz w:val="22"/>
          <w:szCs w:val="22"/>
        </w:rPr>
      </w:pPr>
    </w:p>
    <w:p w:rsidR="007D464A" w:rsidRPr="00790BA1" w:rsidRDefault="00790BA1" w:rsidP="00790BA1">
      <w:pPr>
        <w:ind w:left="170" w:right="170"/>
        <w:jc w:val="both"/>
        <w:rPr>
          <w:sz w:val="22"/>
          <w:szCs w:val="22"/>
        </w:rPr>
      </w:pPr>
      <w:r w:rsidRPr="00790BA1">
        <w:rPr>
          <w:sz w:val="22"/>
          <w:szCs w:val="22"/>
        </w:rPr>
        <w:t>Come nella teologia trinitaria l’assoluto trascendente divino non fagocita, ma al contrario si esprime nell’alterità interpersonale, così l’unicità e singolarità del Cristo e del cristianesimo, se è pensata entro la categoria della relazionalità, saprà includere senza schiacciare gli aneliti provenienti dalla pluralità religiosa senza cadere nel relativismo pluralistico. Il linguaggio della relazionalità (trinitaria) non si oppone a quello dell’unicità assoluta trattandosi, come dicevamo, dell’unica sostanza divina. Analogamente l’unicità di Cristo non si stempera in altre concezioni salvifiche, perché Gesù è capace di relazionarsi ad esse senza assorbirle, né in esse disperdersi. Riceve da esse, e si offre in un processo di inclusione che senza schiacciarle mostra ad esse l’opportunità di un trascendimento</w:t>
      </w:r>
      <w:r w:rsidRPr="00790BA1">
        <w:rPr>
          <w:rStyle w:val="Rimandonotaapidipagina"/>
          <w:sz w:val="22"/>
          <w:szCs w:val="22"/>
        </w:rPr>
        <w:footnoteReference w:id="25"/>
      </w:r>
      <w:r w:rsidRPr="00790BA1">
        <w:rPr>
          <w:sz w:val="22"/>
          <w:szCs w:val="22"/>
        </w:rPr>
        <w:t>.</w:t>
      </w:r>
    </w:p>
    <w:p w:rsidR="00790BA1" w:rsidRDefault="00790BA1" w:rsidP="00790BA1">
      <w:pPr>
        <w:ind w:left="170" w:right="170"/>
        <w:jc w:val="both"/>
      </w:pPr>
    </w:p>
    <w:p w:rsidR="006C47C5" w:rsidRPr="00B616A5" w:rsidRDefault="006C47C5" w:rsidP="006C47C5">
      <w:pPr>
        <w:jc w:val="center"/>
        <w:rPr>
          <w:i/>
        </w:rPr>
      </w:pPr>
      <w:r>
        <w:rPr>
          <w:i/>
        </w:rPr>
        <w:t>Conclusione aperta: la sfida di r</w:t>
      </w:r>
      <w:r w:rsidRPr="00B616A5">
        <w:rPr>
          <w:i/>
        </w:rPr>
        <w:t>idisegnare lo spazio tra centro e confini</w:t>
      </w:r>
    </w:p>
    <w:p w:rsidR="006C47C5" w:rsidRDefault="006C47C5" w:rsidP="006C47C5">
      <w:pPr>
        <w:jc w:val="both"/>
      </w:pPr>
    </w:p>
    <w:p w:rsidR="006C47C5" w:rsidRDefault="006C47C5" w:rsidP="006C47C5">
      <w:pPr>
        <w:jc w:val="both"/>
      </w:pPr>
      <w:r>
        <w:t xml:space="preserve">1. Il primo impatto del multi-culturalismo e del pluralismo riguarda la percezione dello spazio, dell’unità del mondo che si abita. Si comprendono le metafore associate a questa scoperta: allargare gli spazi, fare posto all’altro, dilatare i confini; oppure, viceversa, difendere i propri confini, erigere </w:t>
      </w:r>
      <w:r>
        <w:lastRenderedPageBreak/>
        <w:t>muri o barriere, delimitare lo spazio proprio. L’immaginazione dominante la cultura moderna europea è quella di un io o di un popolo che sta al centro di una «sfera del proprio», rispetto alla quale l’alterità o l’estraneo appaiono come una determinazione secondaria, alla periferia o ai confini</w:t>
      </w:r>
      <w:r>
        <w:rPr>
          <w:rStyle w:val="Rimandonotaapidipagina"/>
        </w:rPr>
        <w:footnoteReference w:id="26"/>
      </w:r>
      <w:r>
        <w:t>. In verità nella scoperta dell’altro, del diverso e perfino dell’estraneo, si risveglia la percezione che «nessuno è padrone in casa propria», poiché l’alterità viene con noi dall’inizio, viene con noi «a casa»</w:t>
      </w:r>
      <w:r>
        <w:rPr>
          <w:rStyle w:val="Rimandonotaapidipagina"/>
        </w:rPr>
        <w:footnoteReference w:id="27"/>
      </w:r>
      <w:r>
        <w:t>. La provocazione dello straniero, dell’estraneo, in senso radicale, risveglia in noi la scoperta che non c’è alcun mondo «nel quale noi siamo completamente a casa, e non c’è alcun soggetto che sia padrone in casa propria»</w:t>
      </w:r>
      <w:r>
        <w:rPr>
          <w:rStyle w:val="Rimandonotaapidipagina"/>
        </w:rPr>
        <w:footnoteReference w:id="28"/>
      </w:r>
      <w:r>
        <w:t>. L’estraneo non è un derivato del proprio ma è qualcosa di co-originario. All’inizio non c’è una coincidenza di sé con sé, una prossimità pacifica del soggetto a se stesso. Questa nuova percezione di sé lascia intuire come «il proprio» venga delimitato mediante processi di esclusione e/o inclusione rispetto all’estraneo, ovvero creando confini. Questo vale della coscienza di sé, dell’io, come anche delle culture</w:t>
      </w:r>
      <w:r>
        <w:rPr>
          <w:rStyle w:val="Rimandonotaapidipagina"/>
        </w:rPr>
        <w:footnoteReference w:id="29"/>
      </w:r>
      <w:r>
        <w:t xml:space="preserve">. Ma ciò significa che all’origine c’è l’intreccio, un reticolo in cui il proprio e l’estraneo sono co-implicati, con punti nodali e collegamenti trasversali. Esiste ancora un centro? Come funziona? </w:t>
      </w:r>
    </w:p>
    <w:p w:rsidR="006C47C5" w:rsidRDefault="006C47C5" w:rsidP="006C47C5">
      <w:pPr>
        <w:ind w:left="170" w:right="113"/>
        <w:jc w:val="both"/>
        <w:rPr>
          <w:sz w:val="22"/>
        </w:rPr>
      </w:pPr>
    </w:p>
    <w:p w:rsidR="006C47C5" w:rsidRDefault="006C47C5" w:rsidP="006C47C5">
      <w:pPr>
        <w:ind w:left="170" w:right="113"/>
        <w:jc w:val="both"/>
        <w:rPr>
          <w:sz w:val="22"/>
        </w:rPr>
      </w:pPr>
      <w:r>
        <w:rPr>
          <w:sz w:val="22"/>
        </w:rPr>
        <w:t>All’inizio non c’è l’unità di una forma di vita propria e neanche una pluralità di forme di vita e di culture nelle quali l’unità si moltiplicherebbe semplicemente; piuttosto, all’inizio c’è la differenza… [una mescolanza che] smaschera il fantasma di ogni ideale di purezza familiare, nazionale, razziale o culturale</w:t>
      </w:r>
      <w:r>
        <w:rPr>
          <w:rStyle w:val="Rimandonotaapidipagina"/>
          <w:sz w:val="22"/>
        </w:rPr>
        <w:footnoteReference w:id="30"/>
      </w:r>
      <w:r>
        <w:rPr>
          <w:sz w:val="22"/>
        </w:rPr>
        <w:t>.</w:t>
      </w:r>
    </w:p>
    <w:p w:rsidR="006C47C5" w:rsidRPr="001B3099" w:rsidRDefault="006C47C5" w:rsidP="006C47C5">
      <w:pPr>
        <w:ind w:left="170" w:right="113"/>
        <w:jc w:val="both"/>
        <w:rPr>
          <w:sz w:val="22"/>
        </w:rPr>
      </w:pPr>
    </w:p>
    <w:p w:rsidR="00361B1F" w:rsidRDefault="006C47C5" w:rsidP="00361B1F">
      <w:pPr>
        <w:jc w:val="both"/>
      </w:pPr>
      <w:r>
        <w:t>Questo intreccio esclude sia una perfetta fusione che una radicale dispari</w:t>
      </w:r>
      <w:r w:rsidR="00835E78">
        <w:t xml:space="preserve">tà tra il proprio e l’estraneo. </w:t>
      </w:r>
      <w:r w:rsidR="00361B1F">
        <w:t>L’«irriducibilmente plurale» non rende impossibile l’incontro tra diverse culture poiché «l’estraneità dell’uomo per l’uomo non è mai assoluta. L’uomo è certo uno straniero per l’uomo, ma allo stesso tempo sempre un simile»</w:t>
      </w:r>
      <w:r w:rsidR="00361B1F">
        <w:rPr>
          <w:rStyle w:val="Rimandonotaapidipagina"/>
        </w:rPr>
        <w:footnoteReference w:id="31"/>
      </w:r>
      <w:r w:rsidR="00361B1F">
        <w:t xml:space="preserve">. </w:t>
      </w:r>
      <w:r w:rsidR="00835E78">
        <w:t xml:space="preserve">Si dovrebbe quindi riconsiderare </w:t>
      </w:r>
      <w:r w:rsidR="00361B1F">
        <w:t>l’</w:t>
      </w:r>
      <w:proofErr w:type="spellStart"/>
      <w:r w:rsidR="00361B1F">
        <w:t>originarietà</w:t>
      </w:r>
      <w:proofErr w:type="spellEnd"/>
      <w:r w:rsidR="00361B1F">
        <w:t xml:space="preserve"> dell’umano comune</w:t>
      </w:r>
      <w:r w:rsidR="00835E78">
        <w:t>,</w:t>
      </w:r>
      <w:r w:rsidR="00361B1F">
        <w:t xml:space="preserve"> che sta alla base dell’esperienza:</w:t>
      </w:r>
    </w:p>
    <w:p w:rsidR="00361B1F" w:rsidRDefault="00361B1F" w:rsidP="00361B1F">
      <w:pPr>
        <w:ind w:left="170" w:right="113"/>
        <w:jc w:val="both"/>
        <w:rPr>
          <w:sz w:val="22"/>
        </w:rPr>
      </w:pPr>
    </w:p>
    <w:p w:rsidR="00361B1F" w:rsidRDefault="00361B1F" w:rsidP="00361B1F">
      <w:pPr>
        <w:ind w:left="170" w:right="113"/>
        <w:jc w:val="both"/>
        <w:rPr>
          <w:sz w:val="22"/>
        </w:rPr>
      </w:pPr>
      <w:r>
        <w:rPr>
          <w:sz w:val="22"/>
        </w:rPr>
        <w:t xml:space="preserve">Un bambino malese, o italiano, non impara dalla sua mamma anzitutto il malese o l’italiano. Impara </w:t>
      </w:r>
      <w:r w:rsidRPr="00676E0D">
        <w:rPr>
          <w:i/>
          <w:sz w:val="22"/>
        </w:rPr>
        <w:t>a parlare</w:t>
      </w:r>
      <w:r>
        <w:rPr>
          <w:sz w:val="22"/>
        </w:rPr>
        <w:t xml:space="preserve">, entra nel </w:t>
      </w:r>
      <w:r w:rsidRPr="00676E0D">
        <w:rPr>
          <w:i/>
          <w:sz w:val="22"/>
        </w:rPr>
        <w:t>linguaggio</w:t>
      </w:r>
      <w:r>
        <w:rPr>
          <w:sz w:val="22"/>
        </w:rPr>
        <w:t xml:space="preserve"> umano. Non impara prima di tutto gli usi e i costumi del suo paese, impara l’ethos e il pathos dell’umano abitare la terra. Imparerà più tardi che il suo modo di parlare il linguaggio è malese o italiano: la parola e il linguaggio, comuni all’umano, gli resteranno per sempre. L’appartenenza all’umano è inespugnabile. Analogamente, il bambino apprende l’ethos e il pathos del dimorare nello spazio e nel tempo dell’umano assimilato e condiviso. Non soffre anzitutto in cinese o in arabo, impara essenzialmente il patire umano. E impara il padre e la madre, il familiare e l’estraneo, la routine e la festa, la solitudine e la comunità, la cura e l’indifferenza, l’umiliazione e la vendetta, l’offesa e il perdono, l’amore e l’odio, il proprio e l’altrui, il bello e il brutto, il giusto e l’ingiusto, l’accessibile e l’interdetto, il grande e l’infimo, il sacro e l’indecifrabile. Impara l’umano una volta, e ogni volta, e per sempre</w:t>
      </w:r>
      <w:r>
        <w:rPr>
          <w:rStyle w:val="Rimandonotaapidipagina"/>
          <w:sz w:val="22"/>
        </w:rPr>
        <w:footnoteReference w:id="32"/>
      </w:r>
      <w:r>
        <w:rPr>
          <w:sz w:val="22"/>
        </w:rPr>
        <w:t>.</w:t>
      </w:r>
    </w:p>
    <w:p w:rsidR="00361B1F" w:rsidRPr="00676E0D" w:rsidRDefault="00361B1F" w:rsidP="00361B1F">
      <w:pPr>
        <w:ind w:left="170" w:right="113"/>
        <w:jc w:val="both"/>
        <w:rPr>
          <w:sz w:val="22"/>
        </w:rPr>
      </w:pPr>
    </w:p>
    <w:p w:rsidR="006C47C5" w:rsidRDefault="006C47C5" w:rsidP="006C47C5">
      <w:pPr>
        <w:jc w:val="both"/>
      </w:pPr>
      <w:r>
        <w:t xml:space="preserve">Se dovessimo cercare corrispondenze o addirittura conferme di questa fenomenologia nell’ambito dell’esperienza cristiana, colta nelle sue radici bibliche, saremmo rimandati subito all’esperienza </w:t>
      </w:r>
      <w:r>
        <w:lastRenderedPageBreak/>
        <w:t xml:space="preserve">dell’alleanza tra Dio e il suo popolo, laddove Dio si lamenta nel sentirsi trattato come uno straniero dal suo popolo e quindi «in casa sua». Lo si vede bene nell’oracolo di Osea 8,12: «Sebbene io gli abbia dato una quantità di leggi, egli le considera come quelle di uno straniero». </w:t>
      </w:r>
      <w:r w:rsidRPr="00E044A6">
        <w:t>È</w:t>
      </w:r>
      <w:r>
        <w:t xml:space="preserve"> pretenzioso parlare di una relazione unica ed esclusiva con Dio al modo di un dato pacifico, di un possesso che possa costituire qualcosa di «proprio» rispetto ad altri. La chiamata è anzitutto dono e responsabilità piuttosto che possesso. Al centro c’è un rapporto drammatico, teso, pieno di incontri e scontri, che rivelano un alternarsi di estraneità e prossimità. Un fenomeno analogo si registra nelle parabole della vigilanza di Gesù, laddove si parla del Dio che viene dai suoi (nel suo Regno) come un ladro di notte, che viene all’improvviso, o ancora come il padrone di casa che torna da un viaggio o da una festa «quando meno te lo aspetti» e chiede conto della conduzione della casa (Mt 24,37-51). Valga come testimonianza dell’auto-coscienza cristiana dei primi secoli, peraltro ripresa per tutto il primo millennio come testo autorevole, il famoso passaggio della Lettera a </w:t>
      </w:r>
      <w:proofErr w:type="spellStart"/>
      <w:r>
        <w:t>Diogneto</w:t>
      </w:r>
      <w:proofErr w:type="spellEnd"/>
      <w:r>
        <w:t>:</w:t>
      </w:r>
    </w:p>
    <w:p w:rsidR="006C47C5" w:rsidRDefault="006C47C5" w:rsidP="006C47C5">
      <w:pPr>
        <w:ind w:left="170" w:right="113"/>
        <w:jc w:val="both"/>
        <w:rPr>
          <w:sz w:val="22"/>
        </w:rPr>
      </w:pPr>
    </w:p>
    <w:p w:rsidR="006C47C5" w:rsidRDefault="006C47C5" w:rsidP="006C47C5">
      <w:pPr>
        <w:ind w:left="170" w:right="113"/>
        <w:jc w:val="both"/>
        <w:rPr>
          <w:sz w:val="22"/>
        </w:rPr>
      </w:pPr>
      <w:r>
        <w:rPr>
          <w:sz w:val="22"/>
        </w:rPr>
        <w:t>I cristiani infatti non sono distinti dagli altri uomini, né per territorio, né per lingua né per modi di vivere. Essi infatti non abitano città loro proprie, non usano un linguaggio particolare, né conducono uno speciale genere di vita. La loro dottrina non è conquista di genio irrequieto d’uomini industriosi; né professano, come fanno alcuni, un sistema filosofico umano. Abitando in città greche o barbare, come a ciascuno è toccato in sorte, ed adattandosi agli usi del paese nel vestito, nel cibo e in tutto il resto del vivere, danno esempio di una loro forma di vita sociale meravigliosa, e che, a confessione di tutti, ha dell’incredibile. Abitano la loro rispettiva patria, ma come gente straniera; partecipano di tutti gli oneri come cittadini, e sopportano tutto come stranieri. Ogni terra straniera è patria per loro e ogni patria è terra straniera</w:t>
      </w:r>
      <w:r>
        <w:rPr>
          <w:rStyle w:val="Rimandonotaapidipagina"/>
          <w:sz w:val="22"/>
        </w:rPr>
        <w:footnoteReference w:id="33"/>
      </w:r>
      <w:r>
        <w:rPr>
          <w:sz w:val="22"/>
        </w:rPr>
        <w:t>.</w:t>
      </w:r>
    </w:p>
    <w:p w:rsidR="006C47C5" w:rsidRPr="00C823FA" w:rsidRDefault="006C47C5" w:rsidP="006C47C5">
      <w:pPr>
        <w:ind w:left="170" w:right="113"/>
        <w:jc w:val="both"/>
        <w:rPr>
          <w:sz w:val="22"/>
        </w:rPr>
      </w:pPr>
    </w:p>
    <w:p w:rsidR="006C47C5" w:rsidRDefault="006C47C5" w:rsidP="006C47C5">
      <w:pPr>
        <w:jc w:val="both"/>
      </w:pPr>
      <w:r>
        <w:t xml:space="preserve">I cristiani non rivendicano uno spazio «proprio». E comunque il loro spazio è già abitato da un’alterità, che può avere la figura dell’estraneo che pungola e interpella, mettendo in discussione ciò che si dava per acquisito e pacifico. </w:t>
      </w:r>
      <w:r w:rsidRPr="00E044A6">
        <w:t>È</w:t>
      </w:r>
      <w:r>
        <w:t xml:space="preserve"> un estraneo a cui rendere conto di ciò che si fa nello spazio proprio. Ciò significa che non esiste un centro compatto e solido, senza crepe e fratture, a partire dal quale si possano poi stabilire i confini e le periferie. Questo ripensamento dello «spazio proprio» implica una ridefinizione dei confini come «soglie», ossia zone che mettono in contatto mentre delimitano, spazi di transizione, come nel passaggio dal sonno alla veglia, dalla vita alla morte, nell’ammalarsi e guarire. Sono zone di passaggio che connettono aree non omogenee. Chi attraversa la soglia non giunge semplicemente in altro luogo, ma diviene un altro. Nessuno può dominare la differenza e mediare tra le culture da una posizione neutra. La sfida consisterà dunque nel dilatare i confini per esporsi all’appello dell’estraneo, alla differenza dello straniero. Tale esposizione non ha la forma di un agire comunicativo che argomenta in base a una razionalità universale a priori, dalla quale ricavare un terreno comune (valori, regole, ideali), ma funziona come un rendersi responsabili di fronte all’appello dell’estraneo, come un lasciarsi interpellare per una risposta che non dispone di uno schema prestabilito, ma si deve affidare alla sorpresa e alla creatività di ciò che nasce dall’incontro. Si tratta di abitare i confini per pensare «a partire dall’altro», esponendosi alla sua estraneità</w:t>
      </w:r>
      <w:r>
        <w:rPr>
          <w:rStyle w:val="Rimandonotaapidipagina"/>
        </w:rPr>
        <w:footnoteReference w:id="34"/>
      </w:r>
      <w:r>
        <w:t>. L’ascolto dell’estraneo nella sua differenza è un ascolto che mette di fronte a un «altrove» che implica una certa distanza critica da sé. Ma tale disponibilità all’ascolto presuppone la «traducibilità» dei linguaggi e quindi una sorta di «ospitalità linguistica» in cui ascoltare l’altro</w:t>
      </w:r>
      <w:r>
        <w:rPr>
          <w:rStyle w:val="Rimandonotaapidipagina"/>
        </w:rPr>
        <w:footnoteReference w:id="35"/>
      </w:r>
      <w:r>
        <w:t>.</w:t>
      </w:r>
    </w:p>
    <w:p w:rsidR="006C47C5" w:rsidRDefault="006C47C5" w:rsidP="006C47C5">
      <w:pPr>
        <w:jc w:val="both"/>
      </w:pPr>
    </w:p>
    <w:p w:rsidR="006C47C5" w:rsidRDefault="006C47C5" w:rsidP="006C47C5">
      <w:pPr>
        <w:jc w:val="both"/>
      </w:pPr>
      <w:r>
        <w:t>2. Questa esperienza del «pungolo dell’estraneo», che spinge a ridefinire lo spazio, la ritroviamo nel cammino della teologia delle religioni</w:t>
      </w:r>
      <w:r>
        <w:rPr>
          <w:rStyle w:val="Rimandonotaapidipagina"/>
        </w:rPr>
        <w:footnoteReference w:id="36"/>
      </w:r>
      <w:r>
        <w:t xml:space="preserve">. Siamo rimandati alla discussione sul rapporto tra i paradigmi di pensiero teologico ovvero alla discussione tra </w:t>
      </w:r>
      <w:proofErr w:type="spellStart"/>
      <w:r>
        <w:t>esclusvismo</w:t>
      </w:r>
      <w:proofErr w:type="spellEnd"/>
      <w:r>
        <w:t xml:space="preserve">, </w:t>
      </w:r>
      <w:proofErr w:type="spellStart"/>
      <w:r>
        <w:t>inclusivismo</w:t>
      </w:r>
      <w:proofErr w:type="spellEnd"/>
      <w:r>
        <w:t xml:space="preserve"> e pluralismo</w:t>
      </w:r>
      <w:r>
        <w:rPr>
          <w:rStyle w:val="Rimandonotaapidipagina"/>
        </w:rPr>
        <w:footnoteReference w:id="37"/>
      </w:r>
      <w:r>
        <w:t xml:space="preserve">. Ciò che ultimamente c’è in gioco nei tre modelli è proprio l’organizzazione dello spazio in cui si collocano le altre religioni e quindi l’universo di pensiero in gioco, col suo centro e i suoi confini. Cosa sta al centro dell’orizzonte nel quale si inseriscono le varie religioni? Come ci permette di valutarne la loro posizione nel piano salvifico divino? Qualsiasi forma di teologia delle religioni deve partire dall’interpretazione della posizione del cristianesimo nell’ambito della storia delle religioni: cos’ha di «proprio» l’esperienza cristiana? Questo cuore del cristianesimo come si colloca tra le religioni? Da questo punto di vista, l’orizzonte di pensiero esclusivista </w:t>
      </w:r>
      <w:r w:rsidRPr="00AE286A">
        <w:rPr>
          <w:i/>
        </w:rPr>
        <w:t xml:space="preserve">(extra </w:t>
      </w:r>
      <w:proofErr w:type="spellStart"/>
      <w:r w:rsidRPr="00AE286A">
        <w:rPr>
          <w:i/>
        </w:rPr>
        <w:t>ecclesiam</w:t>
      </w:r>
      <w:proofErr w:type="spellEnd"/>
      <w:r w:rsidRPr="00AE286A">
        <w:rPr>
          <w:i/>
        </w:rPr>
        <w:t xml:space="preserve"> nulla </w:t>
      </w:r>
      <w:proofErr w:type="spellStart"/>
      <w:r w:rsidRPr="00AE286A">
        <w:rPr>
          <w:i/>
        </w:rPr>
        <w:t>salus</w:t>
      </w:r>
      <w:proofErr w:type="spellEnd"/>
      <w:r w:rsidRPr="00AE286A">
        <w:rPr>
          <w:i/>
        </w:rPr>
        <w:t>)</w:t>
      </w:r>
      <w:r>
        <w:t xml:space="preserve"> tendeva a mettere al centro del suo universo </w:t>
      </w:r>
      <w:smartTag w:uri="urn:schemas-microsoft-com:office:smarttags" w:element="PersonName">
        <w:smartTagPr>
          <w:attr w:name="ProductID" w:val="la Chiesa"/>
        </w:smartTagPr>
        <w:r>
          <w:t>la Chiesa</w:t>
        </w:r>
      </w:smartTag>
      <w:r>
        <w:t xml:space="preserve"> e l’appartenenza visibile ad essa: «</w:t>
      </w:r>
      <w:proofErr w:type="spellStart"/>
      <w:r>
        <w:t>ecclesiocentrismo</w:t>
      </w:r>
      <w:proofErr w:type="spellEnd"/>
      <w:r>
        <w:t xml:space="preserve">». Si tratta di una grandezza storica precisa, con una sua identità e suoi confini. Un simile modello è fragile nella misura in cui pretende di delimitare un centro compatto, ossia l’appartenenza visibile alla Chiesa, come cosa per sé ovvia o pacifica e da lì determina i confini al di fuori dei quali c’è perdizione. L’operazione di esclusione risulta clamorosa. Ma è già l’appartenenza e i suoi criteri a non essere pacifici e per sé evidenti. Almeno, non così pacifici in base a criteri modani. Chi appartiene veramente alla Chiesa in corpo e spirito? In che senso chi «fa queste cose a un piccolo», anche senza saperlo, le fa al Cristo ed entra nel Regno (Mt 25)? Cosa c’è al centro dell’esperienza di fede cristiana? Sul versante opposto, il modello pluralista, che si pretende come unico adeguato ai tempi, rischia di frammentare lo spazio salvifico in sentieri autonomi e irrelati, semplicemente accostati e unificabili solo nel rimando a un mistero trascendente al di là della storia: è il cosiddetto «teocentrismo». Non esiterebbe più un centro né una periferia, ma la relativizzazione dei diversi punti di vista in base all’inconoscibilità del mistero trascendente. Tutti balbettano qualcosa da un «non luogo» relativo. Il problema è che le religioni si incontrano in questa storia e nel mondo che ci è dato. La dispersione in frammenti senza un centro e l’appello a una sorta di policentrismo senza dialogo rischia di negare l’esistenza di un mondo comune da abitare e su cui confrontarsi. </w:t>
      </w:r>
      <w:r w:rsidRPr="00E044A6">
        <w:t>È</w:t>
      </w:r>
      <w:r w:rsidR="00835E78">
        <w:t xml:space="preserve"> veramente sensata una simile p</w:t>
      </w:r>
      <w:r>
        <w:t xml:space="preserve">rospettiva? Invece il modello </w:t>
      </w:r>
      <w:proofErr w:type="spellStart"/>
      <w:r>
        <w:t>inclusivista</w:t>
      </w:r>
      <w:proofErr w:type="spellEnd"/>
      <w:r>
        <w:t xml:space="preserve"> è promettente proprio perché parte da una più articolata comprensione del centro: il «proprio» dell’umanesimo cristiano è costituito dal gesto di Gesù che chiama gratuitamente a salvezza, attualizzando la chiamata del Padre rivolta a ogni uomo (anche a pubblicani, prostitute e peccatori). Si tratta di una chiamata che dall’origine abbraccia tutta l’umanità, in un percorso a cerchi concentrici, che stabilisce differenti modi e forme di appartenenza al Regno di Dio che si va realizzando in questa storia (</w:t>
      </w:r>
      <w:r w:rsidRPr="004B03A4">
        <w:rPr>
          <w:i/>
        </w:rPr>
        <w:t xml:space="preserve">Lumen </w:t>
      </w:r>
      <w:proofErr w:type="spellStart"/>
      <w:r w:rsidRPr="004B03A4">
        <w:rPr>
          <w:i/>
        </w:rPr>
        <w:t>Gentium</w:t>
      </w:r>
      <w:proofErr w:type="spellEnd"/>
      <w:r>
        <w:t>, 13). L’articolazione in Cristo di una grande storia salvifica lascia spazio a luci al di fuori delle mura della Chiesa, a semi del Verbo nei quali uomini saggi hanno ascoltato la verità con una docilità insospettabile. Insomma, lo spazio si articola in un percorso ricco di tappe e sfumature, che proprio l’incontro con Cristo permette di percepire, nel rispetto delle loro forme differenti. L’</w:t>
      </w:r>
      <w:proofErr w:type="spellStart"/>
      <w:r>
        <w:t>inclusivismo</w:t>
      </w:r>
      <w:proofErr w:type="spellEnd"/>
      <w:r>
        <w:t xml:space="preserve"> prevede una sorta di integrazione nell’unica storia di salvezza generata dalla gratuita chiamata di Dio Padre di differenti cammini dell’umanità, articolandoli in una storia di alleanze nelle quali Dio riprende senza stancarsi il suo cammino con i popoli e culture.</w:t>
      </w:r>
    </w:p>
    <w:p w:rsidR="006C47C5" w:rsidRDefault="006C47C5" w:rsidP="006C47C5">
      <w:pPr>
        <w:jc w:val="both"/>
      </w:pPr>
    </w:p>
    <w:p w:rsidR="006C47C5" w:rsidRDefault="006C47C5" w:rsidP="006C47C5">
      <w:pPr>
        <w:jc w:val="both"/>
      </w:pPr>
      <w:r>
        <w:t xml:space="preserve">3. La strategia </w:t>
      </w:r>
      <w:proofErr w:type="spellStart"/>
      <w:r>
        <w:t>inclusivista</w:t>
      </w:r>
      <w:proofErr w:type="spellEnd"/>
      <w:r>
        <w:t xml:space="preserve"> si presenta come orizzonte ospitale, generato proprio dallo stile ospitale di Gesù. Tale ospitalità non ha la forma dell’omologazione. Ospita alterità a cui Dio affida la verità </w:t>
      </w:r>
      <w:r>
        <w:lastRenderedPageBreak/>
        <w:t xml:space="preserve">in regime di libertà e quindi di novità. Lo </w:t>
      </w:r>
      <w:r w:rsidRPr="00FF05ED">
        <w:rPr>
          <w:i/>
        </w:rPr>
        <w:t>stile ospitale di Gesù</w:t>
      </w:r>
      <w:r>
        <w:t xml:space="preserve"> lascia risuonare nella storia il dono di Dio creatore, che chiama il singolo nella sua irriducibile singolarità a decidere del senso della sua vita</w:t>
      </w:r>
      <w:r>
        <w:rPr>
          <w:rStyle w:val="Rimandonotaapidipagina"/>
        </w:rPr>
        <w:footnoteReference w:id="38"/>
      </w:r>
      <w:r>
        <w:t xml:space="preserve">. «Stile» indica il </w:t>
      </w:r>
      <w:r w:rsidRPr="008A6E90">
        <w:rPr>
          <w:i/>
        </w:rPr>
        <w:t>principio di concordanza tra la forma e il contenuto</w:t>
      </w:r>
      <w:r>
        <w:t>. Lo «stile» non rimanda solo o immediatamente alla forma, ossia a una mediazione culturale e storica estranea al contenuto. Non riguarda però neppure un contenuto dottrinale dato in sé e per sé, una volta per tutte. Il cristianesimo non è riducibile a un messaggio da trasmettere, come la rivelazione non è una dottrina caduta dal cielo e come la creazione non è un senso già dato o un destino prestabilito. In tal senso ha un valore simbolico il fatto che Gesù no</w:t>
      </w:r>
      <w:bookmarkStart w:id="0" w:name="_GoBack"/>
      <w:bookmarkEnd w:id="0"/>
      <w:r>
        <w:t>n abbia scritto nulla, non si sia preoccupato di lasciare qualcosa di scritto. Ha invece favorito un</w:t>
      </w:r>
      <w:r w:rsidR="00C5663C">
        <w:t>a</w:t>
      </w:r>
      <w:r>
        <w:t xml:space="preserve"> pratica di scrittura differente, all’altezza del processo relazionale nuovo da Lui stesso inaugurato e ripreso dai discepoli. Lo «stile» rimanda allora al senso che l’uomo riesce a donare alla vita, nella sua unicità irripetibile, nella quale la libertà dell’uomo corrisponde a sé in piena armonia e si irraggia in relazioni buone coi fratelli. Lo stile è quel senso in cui avviene la vita autentica, nella piena corrispondenza tra contenuto e forma, tra fondo ed espressione. Ma occorre ulteriormente precisare che il </w:t>
      </w:r>
      <w:r w:rsidRPr="00E07A31">
        <w:rPr>
          <w:i/>
        </w:rPr>
        <w:t>contenuto</w:t>
      </w:r>
      <w:r>
        <w:t xml:space="preserve"> non è una cosa o un senso dato, bensì il dono di Dio, la creazione stessa in cui sono inscritte possibilità inaudite. Potremmo dire che il contenuto rimanda al donare di Dio che consegna l’uomo a sé, nella sua autonomia donatrice di senso. La </w:t>
      </w:r>
      <w:r w:rsidRPr="00E07A31">
        <w:rPr>
          <w:i/>
        </w:rPr>
        <w:t>forma</w:t>
      </w:r>
      <w:r>
        <w:t xml:space="preserve"> è allora un «dare/prendere-forma», ossia una configurazione libera dell’esistenza nella sua unicità irripetibile, che si mette in relazione con ogni altro. Per un cristiano è possibile che la forma sia nella piena corrispondenza col contenuto, la configurazione di senso della vita col dono di Dio, se si dà credito al «traghettatore» </w:t>
      </w:r>
      <w:r w:rsidRPr="00F8316D">
        <w:rPr>
          <w:i/>
        </w:rPr>
        <w:t>(passeur)</w:t>
      </w:r>
      <w:r>
        <w:t xml:space="preserve"> Gesù, che può portare «chiunque» nell’interiorità in cui scopre la sua autonomia e unicità di fronte a Dio, attivando così le possibilità «inaudite e insospettate» inscritte nella vita donata da Dio. Siamo al fondamento cristologico dello stile cristiano</w:t>
      </w:r>
      <w:r w:rsidRPr="00FF05ED">
        <w:rPr>
          <w:rStyle w:val="Rimandonotaapidipagina"/>
          <w:sz w:val="22"/>
        </w:rPr>
        <w:footnoteReference w:id="39"/>
      </w:r>
      <w:r w:rsidRPr="00FF05ED">
        <w:rPr>
          <w:sz w:val="22"/>
        </w:rPr>
        <w:t xml:space="preserve">. </w:t>
      </w:r>
      <w:r>
        <w:t>Dunque Gesù è colui che propizia l’accesso dell’uomo alla sua interiorità unica e irripetibile e quindi ai progetti di senso in cui ne va dello stile, cioè della concordanza tra contenuto e forma di vita secondo la «misura smisurata» dischiusa dalle possibilità inaudite inscritte nel dono originario di Dio. Questa presenza e azione di Gesù presuppongono uno spossessamento, una distanza da sé che fonda lo spazio della risposta libera di ogni altro</w:t>
      </w:r>
      <w:r w:rsidRPr="00FF05ED">
        <w:rPr>
          <w:rStyle w:val="Rimandonotaapidipagina"/>
          <w:sz w:val="22"/>
        </w:rPr>
        <w:footnoteReference w:id="40"/>
      </w:r>
      <w:r w:rsidRPr="00FF05ED">
        <w:rPr>
          <w:sz w:val="22"/>
        </w:rPr>
        <w:t>.</w:t>
      </w:r>
      <w:r>
        <w:rPr>
          <w:sz w:val="22"/>
        </w:rPr>
        <w:t xml:space="preserve"> </w:t>
      </w:r>
      <w:r w:rsidRPr="00A62880">
        <w:rPr>
          <w:sz w:val="22"/>
        </w:rPr>
        <w:t>È</w:t>
      </w:r>
      <w:r>
        <w:t xml:space="preserve"> in questo spazio, in questa distanza di Gesù da sé che il «traghettatore» può accompagnare «chiunque» alla sua interiorità più propria, al suo elementare di vita che salva (</w:t>
      </w:r>
      <w:proofErr w:type="spellStart"/>
      <w:r>
        <w:t>Gv</w:t>
      </w:r>
      <w:proofErr w:type="spellEnd"/>
      <w:r>
        <w:t xml:space="preserve"> 5,30). L’ospitalità di Gesù permette così di abitare il mondo in modo nuovo, aprendosi allo sguardo di Dio sulle cose a partire dalla perfetta concordanza con sé, con ciò che è proprio di ciascuno.</w:t>
      </w:r>
    </w:p>
    <w:p w:rsidR="006C47C5" w:rsidRDefault="006C47C5" w:rsidP="006C47C5">
      <w:pPr>
        <w:jc w:val="both"/>
      </w:pPr>
    </w:p>
    <w:p w:rsidR="006C47C5" w:rsidRDefault="006C47C5" w:rsidP="006C47C5">
      <w:pPr>
        <w:jc w:val="both"/>
      </w:pPr>
      <w:r>
        <w:t>4. Il cristiano sa che l’apparire della verità fonda la libera risposta dell’uomo, chiamata a dare senso alla manifestazione del vero, proprio in ordine all’attuazione unica e irripetibile del soggetto interpellato nella sua storia singolare. Nell’apertura alla verità che interpella e chiede di essere cercata, la persona si sente chiamata a diventare pienamente se stessa. All’inizio c’è il risuonare di un’«esigenza di verità» ovvero della verità come «esigenza» che interpella e chiama a corrispondere a ciò che si dona. In questa esperienza originaria ci si rende conto del fatto che nel confronto o dialogo non si tratta di condividere con l’altro la propria idea/dottrina/credo come esigenza di verità da proporre o imporre, quanto piuttosto di condividere l’esigenza di verità che ci reclama nella nostra risposta di fede, guidandoci nel nostro dialogo con la realtà «sempre più grande» e quindi con gli altri</w:t>
      </w:r>
      <w:r>
        <w:rPr>
          <w:rStyle w:val="Rimandonotaapidipagina"/>
        </w:rPr>
        <w:footnoteReference w:id="41"/>
      </w:r>
      <w:r>
        <w:t xml:space="preserve">. Questa condivisione dell’esigenza di verità a cui corrispondiamo nella fede ci permette di ascoltare senza preclusioni la risposta che gli altri stanno dando alla chiamata della verità. Ma posso ascoltarli veramente solo se sto cercando di corrispondere all’esigenza di verità </w:t>
      </w:r>
      <w:r>
        <w:lastRenderedPageBreak/>
        <w:t>che mi reclama nella mia coscienza</w:t>
      </w:r>
      <w:r>
        <w:rPr>
          <w:rStyle w:val="Rimandonotaapidipagina"/>
        </w:rPr>
        <w:footnoteReference w:id="42"/>
      </w:r>
      <w:r>
        <w:t>. Se dovessimo ulteriormente precisare questa dinamica dal punto di vista dell’azione dello Spirito, potremmo raccogliere la suggestiva idea che lo Spirito attualizzi una sorta di «</w:t>
      </w:r>
      <w:proofErr w:type="spellStart"/>
      <w:r>
        <w:t>Raum</w:t>
      </w:r>
      <w:proofErr w:type="spellEnd"/>
      <w:r>
        <w:t xml:space="preserve"> </w:t>
      </w:r>
      <w:proofErr w:type="spellStart"/>
      <w:r>
        <w:t>geben</w:t>
      </w:r>
      <w:proofErr w:type="spellEnd"/>
      <w:r>
        <w:t>», un donare spazio all’altro nella sua differenza. Questo è pensabile se si accoglie l’idea che nel dialogo con l’altro, quel dialogo di cui si fa promotore il Vaticano II alla luce dell’</w:t>
      </w:r>
      <w:proofErr w:type="spellStart"/>
      <w:r w:rsidRPr="00A278BB">
        <w:rPr>
          <w:i/>
        </w:rPr>
        <w:t>Ecclesiam</w:t>
      </w:r>
      <w:proofErr w:type="spellEnd"/>
      <w:r w:rsidRPr="00A278BB">
        <w:rPr>
          <w:i/>
        </w:rPr>
        <w:t xml:space="preserve"> </w:t>
      </w:r>
      <w:proofErr w:type="spellStart"/>
      <w:r w:rsidRPr="00A278BB">
        <w:rPr>
          <w:i/>
        </w:rPr>
        <w:t>suam</w:t>
      </w:r>
      <w:proofErr w:type="spellEnd"/>
      <w:r>
        <w:t xml:space="preserve"> di Paolo VI (1964), lo Spirito vada realizzando la capacità di condividere con l’altro l’esigenza di verità che ci reclama nell’atto di fede, ovvero nella risposta alla chiamata di Dio in Cristo.</w:t>
      </w:r>
    </w:p>
    <w:p w:rsidR="00790BA1" w:rsidRDefault="00790BA1" w:rsidP="00790BA1">
      <w:pPr>
        <w:jc w:val="both"/>
      </w:pPr>
    </w:p>
    <w:p w:rsidR="00790BA1" w:rsidRDefault="00790BA1" w:rsidP="00790BA1">
      <w:pPr>
        <w:jc w:val="both"/>
      </w:pPr>
    </w:p>
    <w:p w:rsidR="00790BA1" w:rsidRPr="007D464A" w:rsidRDefault="00790BA1" w:rsidP="00790BA1">
      <w:pPr>
        <w:jc w:val="both"/>
      </w:pPr>
    </w:p>
    <w:sectPr w:rsidR="00790BA1" w:rsidRPr="007D464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2AA" w:rsidRDefault="004702AA" w:rsidP="007D464A">
      <w:r>
        <w:separator/>
      </w:r>
    </w:p>
  </w:endnote>
  <w:endnote w:type="continuationSeparator" w:id="0">
    <w:p w:rsidR="004702AA" w:rsidRDefault="004702AA" w:rsidP="007D4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2AA" w:rsidRDefault="004702AA" w:rsidP="007D464A">
      <w:r>
        <w:separator/>
      </w:r>
    </w:p>
  </w:footnote>
  <w:footnote w:type="continuationSeparator" w:id="0">
    <w:p w:rsidR="004702AA" w:rsidRDefault="004702AA" w:rsidP="007D464A">
      <w:r>
        <w:continuationSeparator/>
      </w:r>
    </w:p>
  </w:footnote>
  <w:footnote w:id="1">
    <w:p w:rsidR="007D464A" w:rsidRDefault="007D464A" w:rsidP="007D464A">
      <w:pPr>
        <w:pStyle w:val="Testonotaapidipagina"/>
        <w:jc w:val="both"/>
      </w:pPr>
      <w:r>
        <w:rPr>
          <w:rStyle w:val="Rimandonotaapidipagina"/>
        </w:rPr>
        <w:footnoteRef/>
      </w:r>
      <w:r>
        <w:t xml:space="preserve"> </w:t>
      </w:r>
      <w:r>
        <w:rPr>
          <w:smallCaps/>
        </w:rPr>
        <w:t xml:space="preserve">R.E. </w:t>
      </w:r>
      <w:proofErr w:type="spellStart"/>
      <w:r>
        <w:rPr>
          <w:smallCaps/>
        </w:rPr>
        <w:t>Verastegui</w:t>
      </w:r>
      <w:proofErr w:type="spellEnd"/>
      <w:r>
        <w:t xml:space="preserve">, </w:t>
      </w:r>
      <w:proofErr w:type="spellStart"/>
      <w:r w:rsidRPr="009B18A9">
        <w:rPr>
          <w:i/>
        </w:rPr>
        <w:t>Christianisme</w:t>
      </w:r>
      <w:proofErr w:type="spellEnd"/>
      <w:r w:rsidRPr="009B18A9">
        <w:rPr>
          <w:i/>
        </w:rPr>
        <w:t xml:space="preserve"> et </w:t>
      </w:r>
      <w:proofErr w:type="spellStart"/>
      <w:r w:rsidRPr="009B18A9">
        <w:rPr>
          <w:i/>
        </w:rPr>
        <w:t>religions</w:t>
      </w:r>
      <w:proofErr w:type="spellEnd"/>
      <w:r w:rsidRPr="009B18A9">
        <w:rPr>
          <w:i/>
        </w:rPr>
        <w:t xml:space="preserve"> non-</w:t>
      </w:r>
      <w:proofErr w:type="spellStart"/>
      <w:r w:rsidRPr="009B18A9">
        <w:rPr>
          <w:i/>
        </w:rPr>
        <w:t>chrétiennes</w:t>
      </w:r>
      <w:proofErr w:type="spellEnd"/>
      <w:r w:rsidRPr="009B18A9">
        <w:rPr>
          <w:i/>
        </w:rPr>
        <w:t xml:space="preserve">. </w:t>
      </w:r>
      <w:proofErr w:type="spellStart"/>
      <w:r w:rsidRPr="009B18A9">
        <w:rPr>
          <w:i/>
        </w:rPr>
        <w:t>Analyse</w:t>
      </w:r>
      <w:proofErr w:type="spellEnd"/>
      <w:r w:rsidRPr="009B18A9">
        <w:rPr>
          <w:i/>
        </w:rPr>
        <w:t xml:space="preserve"> de la “</w:t>
      </w:r>
      <w:proofErr w:type="spellStart"/>
      <w:r w:rsidRPr="009B18A9">
        <w:rPr>
          <w:i/>
        </w:rPr>
        <w:t>tendence</w:t>
      </w:r>
      <w:proofErr w:type="spellEnd"/>
      <w:r w:rsidRPr="009B18A9">
        <w:rPr>
          <w:i/>
        </w:rPr>
        <w:t xml:space="preserve"> </w:t>
      </w:r>
      <w:proofErr w:type="spellStart"/>
      <w:r w:rsidRPr="009B18A9">
        <w:rPr>
          <w:i/>
        </w:rPr>
        <w:t>Daniélou</w:t>
      </w:r>
      <w:proofErr w:type="spellEnd"/>
      <w:r w:rsidRPr="009B18A9">
        <w:rPr>
          <w:i/>
        </w:rPr>
        <w:t>”</w:t>
      </w:r>
      <w:r>
        <w:t>, in «</w:t>
      </w:r>
      <w:proofErr w:type="spellStart"/>
      <w:r w:rsidRPr="000B57EE">
        <w:rPr>
          <w:iCs/>
        </w:rPr>
        <w:t>Euntes</w:t>
      </w:r>
      <w:proofErr w:type="spellEnd"/>
      <w:r w:rsidRPr="000B57EE">
        <w:rPr>
          <w:iCs/>
        </w:rPr>
        <w:t xml:space="preserve"> Docete</w:t>
      </w:r>
      <w:r>
        <w:t>» (1970) 227-279.</w:t>
      </w:r>
    </w:p>
  </w:footnote>
  <w:footnote w:id="2">
    <w:p w:rsidR="007D464A" w:rsidRPr="00570895" w:rsidRDefault="007D464A" w:rsidP="007D464A">
      <w:pPr>
        <w:pStyle w:val="Testonotaapidipagina"/>
        <w:jc w:val="both"/>
      </w:pPr>
      <w:r>
        <w:rPr>
          <w:rStyle w:val="Rimandonotaapidipagina"/>
        </w:rPr>
        <w:footnoteRef/>
      </w:r>
      <w:r>
        <w:t xml:space="preserve"> </w:t>
      </w:r>
      <w:r w:rsidRPr="00570895">
        <w:t xml:space="preserve">Il riferimento fondamentale per questa parte è l’ormai classico studio di </w:t>
      </w:r>
      <w:r w:rsidRPr="00570895">
        <w:rPr>
          <w:smallCaps/>
        </w:rPr>
        <w:t xml:space="preserve">A. </w:t>
      </w:r>
      <w:proofErr w:type="spellStart"/>
      <w:r w:rsidRPr="00570895">
        <w:rPr>
          <w:smallCaps/>
        </w:rPr>
        <w:t>Darlap</w:t>
      </w:r>
      <w:proofErr w:type="spellEnd"/>
      <w:r w:rsidRPr="00570895">
        <w:t xml:space="preserve">, </w:t>
      </w:r>
      <w:r w:rsidRPr="00570895">
        <w:rPr>
          <w:i/>
          <w:iCs/>
        </w:rPr>
        <w:t>Teologia fondamentale della storia della salvezza</w:t>
      </w:r>
      <w:r w:rsidRPr="00570895">
        <w:t xml:space="preserve">, in </w:t>
      </w:r>
      <w:proofErr w:type="spellStart"/>
      <w:r w:rsidRPr="00570895">
        <w:rPr>
          <w:i/>
          <w:iCs/>
        </w:rPr>
        <w:t>Mysterium</w:t>
      </w:r>
      <w:proofErr w:type="spellEnd"/>
      <w:r w:rsidRPr="00570895">
        <w:rPr>
          <w:i/>
          <w:iCs/>
        </w:rPr>
        <w:t xml:space="preserve"> </w:t>
      </w:r>
      <w:proofErr w:type="spellStart"/>
      <w:r w:rsidRPr="00570895">
        <w:rPr>
          <w:i/>
          <w:iCs/>
        </w:rPr>
        <w:t>Salutis</w:t>
      </w:r>
      <w:proofErr w:type="spellEnd"/>
      <w:r>
        <w:t xml:space="preserve"> I, </w:t>
      </w:r>
      <w:r w:rsidRPr="00570895">
        <w:t xml:space="preserve">Queriniana, </w:t>
      </w:r>
      <w:r>
        <w:t xml:space="preserve">Brescia </w:t>
      </w:r>
      <w:r w:rsidRPr="00570895">
        <w:t xml:space="preserve">1967, 33-221; </w:t>
      </w:r>
      <w:r w:rsidRPr="00570895">
        <w:rPr>
          <w:smallCaps/>
        </w:rPr>
        <w:t>Idem</w:t>
      </w:r>
      <w:r w:rsidRPr="00570895">
        <w:t xml:space="preserve">, </w:t>
      </w:r>
      <w:r w:rsidRPr="00570895">
        <w:rPr>
          <w:i/>
          <w:iCs/>
        </w:rPr>
        <w:t>Salvezza (storia della)</w:t>
      </w:r>
      <w:r w:rsidRPr="00570895">
        <w:t xml:space="preserve">, in </w:t>
      </w:r>
      <w:proofErr w:type="spellStart"/>
      <w:r w:rsidRPr="00570895">
        <w:rPr>
          <w:i/>
          <w:iCs/>
        </w:rPr>
        <w:t>Sacramentum</w:t>
      </w:r>
      <w:proofErr w:type="spellEnd"/>
      <w:r w:rsidRPr="00570895">
        <w:rPr>
          <w:i/>
          <w:iCs/>
        </w:rPr>
        <w:t xml:space="preserve"> Mundi</w:t>
      </w:r>
      <w:r>
        <w:t xml:space="preserve"> 7, </w:t>
      </w:r>
      <w:r w:rsidRPr="00570895">
        <w:t xml:space="preserve">Queriniana, </w:t>
      </w:r>
      <w:r>
        <w:t xml:space="preserve">Brescia </w:t>
      </w:r>
      <w:r w:rsidRPr="00570895">
        <w:t xml:space="preserve">1977, 340-349; </w:t>
      </w:r>
      <w:r w:rsidRPr="00570895">
        <w:rPr>
          <w:smallCaps/>
        </w:rPr>
        <w:t>Idem</w:t>
      </w:r>
      <w:r w:rsidRPr="00570895">
        <w:t xml:space="preserve">, </w:t>
      </w:r>
      <w:r w:rsidRPr="00570895">
        <w:rPr>
          <w:i/>
          <w:iCs/>
        </w:rPr>
        <w:t>Storia della salvezza</w:t>
      </w:r>
      <w:r w:rsidRPr="00570895">
        <w:t xml:space="preserve">, in </w:t>
      </w:r>
      <w:r w:rsidRPr="00570895">
        <w:rPr>
          <w:i/>
          <w:iCs/>
        </w:rPr>
        <w:t>Dizionario Teologico</w:t>
      </w:r>
      <w:r>
        <w:t xml:space="preserve"> III, </w:t>
      </w:r>
      <w:r w:rsidRPr="00570895">
        <w:t xml:space="preserve">Queriniana, </w:t>
      </w:r>
      <w:r>
        <w:t xml:space="preserve">Brescia </w:t>
      </w:r>
      <w:r w:rsidRPr="00570895">
        <w:t xml:space="preserve">1968, 437-444.  Per quanto riguarda </w:t>
      </w:r>
      <w:proofErr w:type="spellStart"/>
      <w:r w:rsidRPr="00570895">
        <w:t>Rahner</w:t>
      </w:r>
      <w:proofErr w:type="spellEnd"/>
      <w:r w:rsidRPr="00570895">
        <w:t xml:space="preserve"> si vedano i seguenti saggi sul problema: </w:t>
      </w:r>
      <w:r w:rsidRPr="00570895">
        <w:rPr>
          <w:smallCaps/>
        </w:rPr>
        <w:t xml:space="preserve">K. </w:t>
      </w:r>
      <w:proofErr w:type="spellStart"/>
      <w:r w:rsidRPr="00570895">
        <w:rPr>
          <w:smallCaps/>
        </w:rPr>
        <w:t>Rahner</w:t>
      </w:r>
      <w:proofErr w:type="spellEnd"/>
      <w:r w:rsidRPr="00570895">
        <w:t xml:space="preserve">, </w:t>
      </w:r>
      <w:r w:rsidRPr="00570895">
        <w:rPr>
          <w:i/>
          <w:iCs/>
        </w:rPr>
        <w:t>Cristianesimo e religioni non cristiane</w:t>
      </w:r>
      <w:r w:rsidRPr="00570895">
        <w:t xml:space="preserve">, in </w:t>
      </w:r>
      <w:r w:rsidRPr="00570895">
        <w:rPr>
          <w:i/>
          <w:iCs/>
        </w:rPr>
        <w:t>Saggi di antropologia soprannaturale</w:t>
      </w:r>
      <w:r w:rsidRPr="00570895">
        <w:t xml:space="preserve">, Roma, Paoline, 1965, 533-571; </w:t>
      </w:r>
      <w:r w:rsidRPr="00570895">
        <w:rPr>
          <w:smallCaps/>
        </w:rPr>
        <w:t>Idem</w:t>
      </w:r>
      <w:r w:rsidRPr="00570895">
        <w:t xml:space="preserve">, </w:t>
      </w:r>
      <w:r w:rsidRPr="00570895">
        <w:rPr>
          <w:i/>
          <w:iCs/>
        </w:rPr>
        <w:t>Cristiani anonimi</w:t>
      </w:r>
      <w:r w:rsidRPr="00570895">
        <w:t xml:space="preserve">, in </w:t>
      </w:r>
      <w:r w:rsidRPr="00570895">
        <w:rPr>
          <w:i/>
          <w:iCs/>
        </w:rPr>
        <w:t>Nuovi Saggi</w:t>
      </w:r>
      <w:r w:rsidRPr="00570895">
        <w:t xml:space="preserve"> I, Paoline, </w:t>
      </w:r>
      <w:r>
        <w:t xml:space="preserve">Roma </w:t>
      </w:r>
      <w:r w:rsidRPr="00570895">
        <w:t xml:space="preserve">1968, 759-772; </w:t>
      </w:r>
      <w:r w:rsidRPr="00570895">
        <w:rPr>
          <w:smallCaps/>
        </w:rPr>
        <w:t>Idem</w:t>
      </w:r>
      <w:r w:rsidRPr="00570895">
        <w:t xml:space="preserve">, </w:t>
      </w:r>
      <w:smartTag w:uri="urn:schemas-microsoft-com:office:smarttags" w:element="PersonName">
        <w:smartTagPr>
          <w:attr w:name="ProductID" w:val="la Chiesa"/>
        </w:smartTagPr>
        <w:r w:rsidRPr="00570895">
          <w:rPr>
            <w:i/>
            <w:iCs/>
          </w:rPr>
          <w:t>La Chiesa</w:t>
        </w:r>
      </w:smartTag>
      <w:r w:rsidRPr="00570895">
        <w:rPr>
          <w:i/>
          <w:iCs/>
        </w:rPr>
        <w:t>, le Chiese e le rel</w:t>
      </w:r>
      <w:r w:rsidR="00C5663C">
        <w:rPr>
          <w:i/>
          <w:iCs/>
        </w:rPr>
        <w:t>i</w:t>
      </w:r>
      <w:r w:rsidRPr="00570895">
        <w:rPr>
          <w:i/>
          <w:iCs/>
        </w:rPr>
        <w:t>gioni</w:t>
      </w:r>
      <w:r w:rsidRPr="00570895">
        <w:t xml:space="preserve">, in </w:t>
      </w:r>
      <w:r w:rsidRPr="00570895">
        <w:rPr>
          <w:i/>
          <w:iCs/>
        </w:rPr>
        <w:t>Nuovi Saggi</w:t>
      </w:r>
      <w:r w:rsidRPr="00570895">
        <w:t xml:space="preserve"> III, Paoline, </w:t>
      </w:r>
      <w:r>
        <w:t xml:space="preserve">Roma </w:t>
      </w:r>
      <w:r w:rsidRPr="00570895">
        <w:t xml:space="preserve">427-452; </w:t>
      </w:r>
      <w:r w:rsidRPr="00570895">
        <w:rPr>
          <w:smallCaps/>
        </w:rPr>
        <w:t>Idem</w:t>
      </w:r>
      <w:r w:rsidRPr="00570895">
        <w:t xml:space="preserve">, </w:t>
      </w:r>
      <w:r w:rsidRPr="00570895">
        <w:rPr>
          <w:i/>
          <w:iCs/>
        </w:rPr>
        <w:t>Osservazioni sul problema del “Cristiano anonimo”</w:t>
      </w:r>
      <w:r w:rsidRPr="00570895">
        <w:t xml:space="preserve">, in </w:t>
      </w:r>
      <w:r w:rsidRPr="00570895">
        <w:rPr>
          <w:i/>
          <w:iCs/>
        </w:rPr>
        <w:t>Nuovi Saggi</w:t>
      </w:r>
      <w:r>
        <w:t xml:space="preserve"> V, </w:t>
      </w:r>
      <w:r w:rsidRPr="00570895">
        <w:t xml:space="preserve">Paoline, </w:t>
      </w:r>
      <w:r>
        <w:t xml:space="preserve">Roma </w:t>
      </w:r>
      <w:r w:rsidRPr="00570895">
        <w:t xml:space="preserve">1972, 677-697; </w:t>
      </w:r>
      <w:r w:rsidRPr="00570895">
        <w:rPr>
          <w:smallCaps/>
        </w:rPr>
        <w:t>Idem</w:t>
      </w:r>
      <w:r w:rsidRPr="00570895">
        <w:t xml:space="preserve">, </w:t>
      </w:r>
      <w:r w:rsidRPr="00570895">
        <w:rPr>
          <w:i/>
          <w:iCs/>
        </w:rPr>
        <w:t>Fede anonima e fede esplicita</w:t>
      </w:r>
      <w:r w:rsidRPr="00570895">
        <w:t xml:space="preserve">, in </w:t>
      </w:r>
      <w:r w:rsidRPr="00570895">
        <w:rPr>
          <w:i/>
          <w:iCs/>
        </w:rPr>
        <w:t>Nuovi Saggi</w:t>
      </w:r>
      <w:r>
        <w:t xml:space="preserve"> VI, </w:t>
      </w:r>
      <w:r w:rsidRPr="00570895">
        <w:t xml:space="preserve">Paoline, </w:t>
      </w:r>
      <w:r>
        <w:t xml:space="preserve">Roma </w:t>
      </w:r>
      <w:r w:rsidRPr="00570895">
        <w:t xml:space="preserve">1978, 91-101; </w:t>
      </w:r>
      <w:r w:rsidRPr="00570895">
        <w:rPr>
          <w:smallCaps/>
        </w:rPr>
        <w:t>Idem</w:t>
      </w:r>
      <w:r w:rsidRPr="00570895">
        <w:t xml:space="preserve">, </w:t>
      </w:r>
      <w:r w:rsidRPr="00570895">
        <w:rPr>
          <w:i/>
          <w:iCs/>
        </w:rPr>
        <w:t>L’unico Gesù Cristo e l’</w:t>
      </w:r>
      <w:proofErr w:type="spellStart"/>
      <w:r w:rsidRPr="00570895">
        <w:rPr>
          <w:i/>
          <w:iCs/>
        </w:rPr>
        <w:t>univresalità</w:t>
      </w:r>
      <w:proofErr w:type="spellEnd"/>
      <w:r w:rsidRPr="00570895">
        <w:rPr>
          <w:i/>
          <w:iCs/>
        </w:rPr>
        <w:t xml:space="preserve"> della salvezza</w:t>
      </w:r>
      <w:r w:rsidRPr="00570895">
        <w:t xml:space="preserve">, in </w:t>
      </w:r>
      <w:r w:rsidRPr="00570895">
        <w:rPr>
          <w:i/>
          <w:iCs/>
        </w:rPr>
        <w:t>Nuovi Saggi</w:t>
      </w:r>
      <w:r w:rsidRPr="00570895">
        <w:t xml:space="preserve"> VI, Paoline, </w:t>
      </w:r>
      <w:r>
        <w:t xml:space="preserve">Roma </w:t>
      </w:r>
      <w:r w:rsidRPr="00570895">
        <w:t>1978, 307-345.</w:t>
      </w:r>
    </w:p>
  </w:footnote>
  <w:footnote w:id="3">
    <w:p w:rsidR="007D464A" w:rsidRPr="00570895" w:rsidRDefault="007D464A" w:rsidP="007D464A">
      <w:pPr>
        <w:pStyle w:val="Testonotaapidipagina"/>
        <w:jc w:val="both"/>
      </w:pPr>
      <w:r w:rsidRPr="00570895">
        <w:rPr>
          <w:rStyle w:val="Rimandonotaapidipagina"/>
        </w:rPr>
        <w:footnoteRef/>
      </w:r>
      <w:r w:rsidRPr="00570895">
        <w:t xml:space="preserve"> Per questa parte seguiamo da vicino </w:t>
      </w:r>
      <w:r w:rsidRPr="00570895">
        <w:rPr>
          <w:smallCaps/>
        </w:rPr>
        <w:t xml:space="preserve">A. </w:t>
      </w:r>
      <w:proofErr w:type="spellStart"/>
      <w:r w:rsidRPr="00570895">
        <w:rPr>
          <w:smallCaps/>
        </w:rPr>
        <w:t>Darlap</w:t>
      </w:r>
      <w:proofErr w:type="spellEnd"/>
      <w:r w:rsidRPr="00570895">
        <w:t xml:space="preserve">, </w:t>
      </w:r>
      <w:r w:rsidRPr="00570895">
        <w:rPr>
          <w:i/>
          <w:iCs/>
        </w:rPr>
        <w:t>Teologia fondamentale della storia della salvezza</w:t>
      </w:r>
      <w:r w:rsidRPr="00570895">
        <w:t xml:space="preserve">, in </w:t>
      </w:r>
      <w:proofErr w:type="spellStart"/>
      <w:r w:rsidRPr="00570895">
        <w:rPr>
          <w:i/>
          <w:iCs/>
        </w:rPr>
        <w:t>Mysterium</w:t>
      </w:r>
      <w:proofErr w:type="spellEnd"/>
      <w:r w:rsidRPr="00570895">
        <w:rPr>
          <w:i/>
          <w:iCs/>
        </w:rPr>
        <w:t xml:space="preserve"> </w:t>
      </w:r>
      <w:proofErr w:type="spellStart"/>
      <w:r w:rsidRPr="00570895">
        <w:rPr>
          <w:i/>
          <w:iCs/>
        </w:rPr>
        <w:t>Salutis</w:t>
      </w:r>
      <w:proofErr w:type="spellEnd"/>
      <w:r w:rsidRPr="00570895">
        <w:t xml:space="preserve"> I, pp. 139-161.</w:t>
      </w:r>
    </w:p>
  </w:footnote>
  <w:footnote w:id="4">
    <w:p w:rsidR="007D464A" w:rsidRPr="00570895" w:rsidRDefault="007D464A" w:rsidP="007D464A">
      <w:pPr>
        <w:pStyle w:val="Testonotaapidipagina"/>
        <w:jc w:val="both"/>
      </w:pPr>
      <w:r w:rsidRPr="00570895">
        <w:rPr>
          <w:rStyle w:val="Rimandonotaapidipagina"/>
        </w:rPr>
        <w:footnoteRef/>
      </w:r>
      <w:r w:rsidRPr="00570895">
        <w:t xml:space="preserve"> </w:t>
      </w:r>
      <w:r w:rsidRPr="00570895">
        <w:rPr>
          <w:i/>
          <w:iCs/>
        </w:rPr>
        <w:t>Ivi</w:t>
      </w:r>
      <w:r w:rsidRPr="00570895">
        <w:t>, pp. 140-143.</w:t>
      </w:r>
    </w:p>
  </w:footnote>
  <w:footnote w:id="5">
    <w:p w:rsidR="007D464A" w:rsidRPr="00570895" w:rsidRDefault="007D464A" w:rsidP="007D464A">
      <w:pPr>
        <w:pStyle w:val="Testonotaapidipagina"/>
        <w:jc w:val="both"/>
      </w:pPr>
      <w:r w:rsidRPr="00570895">
        <w:rPr>
          <w:rStyle w:val="Rimandonotaapidipagina"/>
        </w:rPr>
        <w:footnoteRef/>
      </w:r>
      <w:r w:rsidRPr="00570895">
        <w:t xml:space="preserve"> </w:t>
      </w:r>
      <w:r w:rsidRPr="00570895">
        <w:rPr>
          <w:i/>
          <w:iCs/>
        </w:rPr>
        <w:t>Ivi</w:t>
      </w:r>
      <w:r w:rsidRPr="00570895">
        <w:t>, p. 143 nota 95.</w:t>
      </w:r>
    </w:p>
  </w:footnote>
  <w:footnote w:id="6">
    <w:p w:rsidR="007D464A" w:rsidRPr="00570895" w:rsidRDefault="007D464A" w:rsidP="007D464A">
      <w:pPr>
        <w:pStyle w:val="Testonotaapidipagina"/>
        <w:jc w:val="both"/>
      </w:pPr>
      <w:r w:rsidRPr="00570895">
        <w:rPr>
          <w:rStyle w:val="Rimandonotaapidipagina"/>
        </w:rPr>
        <w:footnoteRef/>
      </w:r>
      <w:r w:rsidRPr="00570895">
        <w:t xml:space="preserve"> </w:t>
      </w:r>
      <w:r w:rsidRPr="00570895">
        <w:rPr>
          <w:i/>
        </w:rPr>
        <w:t>Ivi</w:t>
      </w:r>
      <w:r w:rsidRPr="00570895">
        <w:t>, pp. 143-146.</w:t>
      </w:r>
    </w:p>
  </w:footnote>
  <w:footnote w:id="7">
    <w:p w:rsidR="007D464A" w:rsidRPr="00570895" w:rsidRDefault="007D464A" w:rsidP="007D464A">
      <w:pPr>
        <w:pStyle w:val="Testonotaapidipagina"/>
        <w:jc w:val="both"/>
      </w:pPr>
      <w:r w:rsidRPr="00570895">
        <w:rPr>
          <w:rStyle w:val="Rimandonotaapidipagina"/>
        </w:rPr>
        <w:footnoteRef/>
      </w:r>
      <w:r w:rsidRPr="00570895">
        <w:t xml:space="preserve"> </w:t>
      </w:r>
      <w:r w:rsidRPr="00570895">
        <w:rPr>
          <w:i/>
        </w:rPr>
        <w:t>Ivi</w:t>
      </w:r>
      <w:r w:rsidRPr="00570895">
        <w:t>, 147.</w:t>
      </w:r>
    </w:p>
  </w:footnote>
  <w:footnote w:id="8">
    <w:p w:rsidR="007D464A" w:rsidRPr="00570895" w:rsidRDefault="007D464A" w:rsidP="007D464A">
      <w:pPr>
        <w:pStyle w:val="Testonotaapidipagina"/>
        <w:jc w:val="both"/>
      </w:pPr>
      <w:r w:rsidRPr="00570895">
        <w:rPr>
          <w:rStyle w:val="Rimandonotaapidipagina"/>
        </w:rPr>
        <w:footnoteRef/>
      </w:r>
      <w:r w:rsidRPr="00570895">
        <w:t xml:space="preserve"> </w:t>
      </w:r>
      <w:r w:rsidRPr="00570895">
        <w:rPr>
          <w:i/>
        </w:rPr>
        <w:t>Ivi</w:t>
      </w:r>
      <w:r w:rsidRPr="00570895">
        <w:t>, 158-161.</w:t>
      </w:r>
    </w:p>
  </w:footnote>
  <w:footnote w:id="9">
    <w:p w:rsidR="007D464A" w:rsidRPr="008D2FF1" w:rsidRDefault="007D464A" w:rsidP="007D464A">
      <w:pPr>
        <w:pStyle w:val="Testonotadichiusura"/>
        <w:jc w:val="both"/>
      </w:pPr>
      <w:r>
        <w:rPr>
          <w:rStyle w:val="Rimandonotaapidipagina"/>
        </w:rPr>
        <w:footnoteRef/>
      </w:r>
      <w:r>
        <w:t xml:space="preserve"> </w:t>
      </w:r>
      <w:r w:rsidRPr="008D2FF1">
        <w:rPr>
          <w:smallCaps/>
        </w:rPr>
        <w:t xml:space="preserve">J. </w:t>
      </w:r>
      <w:proofErr w:type="spellStart"/>
      <w:r w:rsidRPr="008D2FF1">
        <w:rPr>
          <w:smallCaps/>
        </w:rPr>
        <w:t>Dupuis</w:t>
      </w:r>
      <w:proofErr w:type="spellEnd"/>
      <w:r w:rsidRPr="008D2FF1">
        <w:t xml:space="preserve">, </w:t>
      </w:r>
      <w:r w:rsidRPr="008D2FF1">
        <w:rPr>
          <w:i/>
          <w:iCs/>
        </w:rPr>
        <w:t>Gesù Cristo incontro alle religioni</w:t>
      </w:r>
      <w:r w:rsidRPr="008D2FF1">
        <w:t>, Cittadella</w:t>
      </w:r>
      <w:r>
        <w:t xml:space="preserve"> editrice</w:t>
      </w:r>
      <w:r w:rsidRPr="008D2FF1">
        <w:t>,</w:t>
      </w:r>
      <w:r>
        <w:t xml:space="preserve"> Assisi</w:t>
      </w:r>
      <w:r w:rsidRPr="008D2FF1">
        <w:t xml:space="preserve"> 1989, 153.</w:t>
      </w:r>
    </w:p>
  </w:footnote>
  <w:footnote w:id="10">
    <w:p w:rsidR="007D464A" w:rsidRPr="008D2FF1" w:rsidRDefault="007D464A" w:rsidP="007D464A">
      <w:pPr>
        <w:pStyle w:val="Testonotadichiusura"/>
        <w:jc w:val="both"/>
      </w:pPr>
      <w:r w:rsidRPr="008D2FF1">
        <w:rPr>
          <w:rStyle w:val="Rimandonotaapidipagina"/>
        </w:rPr>
        <w:footnoteRef/>
      </w:r>
      <w:r w:rsidRPr="008D2FF1">
        <w:t xml:space="preserve"> </w:t>
      </w:r>
      <w:r w:rsidRPr="008D2FF1">
        <w:rPr>
          <w:i/>
          <w:iCs/>
        </w:rPr>
        <w:t>Ivi</w:t>
      </w:r>
      <w:r w:rsidRPr="008D2FF1">
        <w:t>, 153-154.</w:t>
      </w:r>
    </w:p>
  </w:footnote>
  <w:footnote w:id="11">
    <w:p w:rsidR="007D464A" w:rsidRPr="008D2FF1" w:rsidRDefault="007D464A" w:rsidP="007D464A">
      <w:pPr>
        <w:pStyle w:val="Testonotadichiusura"/>
        <w:jc w:val="both"/>
      </w:pPr>
      <w:r w:rsidRPr="008D2FF1">
        <w:rPr>
          <w:rStyle w:val="Rimandonotaapidipagina"/>
        </w:rPr>
        <w:footnoteRef/>
      </w:r>
      <w:r w:rsidRPr="008D2FF1">
        <w:t xml:space="preserve"> </w:t>
      </w:r>
      <w:r w:rsidRPr="008D2FF1">
        <w:rPr>
          <w:i/>
          <w:iCs/>
        </w:rPr>
        <w:t>Ivi</w:t>
      </w:r>
      <w:r w:rsidRPr="008D2FF1">
        <w:t>, 209.</w:t>
      </w:r>
    </w:p>
  </w:footnote>
  <w:footnote w:id="12">
    <w:p w:rsidR="007D464A" w:rsidRPr="008D2FF1" w:rsidRDefault="007D464A" w:rsidP="007D464A">
      <w:pPr>
        <w:pStyle w:val="Testonotadichiusura"/>
        <w:jc w:val="both"/>
      </w:pPr>
      <w:r w:rsidRPr="008D2FF1">
        <w:rPr>
          <w:rStyle w:val="Rimandonotaapidipagina"/>
        </w:rPr>
        <w:footnoteRef/>
      </w:r>
      <w:r w:rsidRPr="008D2FF1">
        <w:t xml:space="preserve"> Questo va riconosciuto a J, </w:t>
      </w:r>
      <w:proofErr w:type="spellStart"/>
      <w:r w:rsidRPr="008D2FF1">
        <w:t>Dupuis</w:t>
      </w:r>
      <w:proofErr w:type="spellEnd"/>
      <w:r w:rsidRPr="008D2FF1">
        <w:t xml:space="preserve">, al di là di alcune espressioni ambigue. Su questo </w:t>
      </w:r>
      <w:r w:rsidRPr="008D2FF1">
        <w:rPr>
          <w:smallCaps/>
        </w:rPr>
        <w:t>G. Canobbio</w:t>
      </w:r>
      <w:r w:rsidRPr="008D2FF1">
        <w:t xml:space="preserve">, «Verbo eterno e salvezza storica. A proposito di alcuni orientamenti della recente teologia delle religioni», in </w:t>
      </w:r>
      <w:proofErr w:type="spellStart"/>
      <w:r w:rsidRPr="008D2FF1">
        <w:rPr>
          <w:smallCaps/>
        </w:rPr>
        <w:t>Aa.Vv</w:t>
      </w:r>
      <w:proofErr w:type="spellEnd"/>
      <w:r w:rsidRPr="008D2FF1">
        <w:rPr>
          <w:smallCaps/>
        </w:rPr>
        <w:t>.</w:t>
      </w:r>
      <w:r w:rsidRPr="008D2FF1">
        <w:t xml:space="preserve">, </w:t>
      </w:r>
      <w:smartTag w:uri="urn:schemas-microsoft-com:office:smarttags" w:element="PersonName">
        <w:smartTagPr>
          <w:attr w:name="ProductID" w:val="la Parola"/>
        </w:smartTagPr>
        <w:r w:rsidRPr="008D2FF1">
          <w:rPr>
            <w:i/>
            <w:iCs/>
          </w:rPr>
          <w:t>La Parola</w:t>
        </w:r>
      </w:smartTag>
      <w:r w:rsidRPr="008D2FF1">
        <w:rPr>
          <w:i/>
          <w:iCs/>
        </w:rPr>
        <w:t xml:space="preserve"> e le parole</w:t>
      </w:r>
      <w:r w:rsidRPr="008D2FF1">
        <w:t xml:space="preserve">, </w:t>
      </w:r>
      <w:proofErr w:type="spellStart"/>
      <w:r w:rsidRPr="008D2FF1">
        <w:t>Morcelliana</w:t>
      </w:r>
      <w:proofErr w:type="spellEnd"/>
      <w:r w:rsidRPr="008D2FF1">
        <w:t xml:space="preserve">, Brescia 2003, 214 si mostra più attento e rispettoso del pensiero dell’autore di quanto noi abbiamo fatto in </w:t>
      </w:r>
      <w:r w:rsidRPr="008D2FF1">
        <w:rPr>
          <w:smallCaps/>
        </w:rPr>
        <w:t>A. Cozzi</w:t>
      </w:r>
      <w:r>
        <w:t xml:space="preserve">, </w:t>
      </w:r>
      <w:r w:rsidRPr="000B57EE">
        <w:rPr>
          <w:i/>
        </w:rPr>
        <w:t>Il Logos e Gesù. Alla ricerca di un nuovo spazio di pensabilità dell’incarnazione</w:t>
      </w:r>
      <w:r w:rsidRPr="008D2FF1">
        <w:t xml:space="preserve">, in </w:t>
      </w:r>
      <w:r>
        <w:t>«</w:t>
      </w:r>
      <w:smartTag w:uri="urn:schemas-microsoft-com:office:smarttags" w:element="PersonName">
        <w:smartTagPr>
          <w:attr w:name="ProductID" w:val="La Scuola Cattolica"/>
        </w:smartTagPr>
        <w:r w:rsidRPr="000B57EE">
          <w:rPr>
            <w:iCs/>
          </w:rPr>
          <w:t>La Scuola Cattolica</w:t>
        </w:r>
      </w:smartTag>
      <w:r>
        <w:t>»</w:t>
      </w:r>
      <w:r w:rsidRPr="008D2FF1">
        <w:t xml:space="preserve"> 130/1 (2002) 78.</w:t>
      </w:r>
    </w:p>
  </w:footnote>
  <w:footnote w:id="13">
    <w:p w:rsidR="007D464A" w:rsidRPr="008D2FF1" w:rsidRDefault="007D464A" w:rsidP="007D464A">
      <w:pPr>
        <w:pStyle w:val="Testonotaapidipagina"/>
        <w:jc w:val="both"/>
      </w:pPr>
      <w:r w:rsidRPr="008D2FF1">
        <w:rPr>
          <w:rStyle w:val="Rimandonotaapidipagina"/>
        </w:rPr>
        <w:footnoteRef/>
      </w:r>
      <w:r w:rsidRPr="008D2FF1">
        <w:t xml:space="preserve"> È il senso del richiamo di Gesù allo iota della Legge che non può cadere (Mt 5,17-19). In questa direzione si può leggere il contributo delle religioni all’appropriazione del dono di Dio in Gesù.</w:t>
      </w:r>
    </w:p>
  </w:footnote>
  <w:footnote w:id="14">
    <w:p w:rsidR="007D464A" w:rsidRPr="008D2FF1" w:rsidRDefault="007D464A" w:rsidP="007D464A">
      <w:pPr>
        <w:pStyle w:val="Testonotaapidipagina"/>
        <w:jc w:val="both"/>
      </w:pPr>
      <w:r w:rsidRPr="008D2FF1">
        <w:rPr>
          <w:rStyle w:val="Rimandonotaapidipagina"/>
        </w:rPr>
        <w:footnoteRef/>
      </w:r>
      <w:r w:rsidRPr="008D2FF1">
        <w:t xml:space="preserve"> Questa linea di pensiero si trova nella riflessione di </w:t>
      </w:r>
      <w:r w:rsidRPr="008D2FF1">
        <w:rPr>
          <w:smallCaps/>
        </w:rPr>
        <w:t xml:space="preserve">J. </w:t>
      </w:r>
      <w:proofErr w:type="spellStart"/>
      <w:r w:rsidRPr="008D2FF1">
        <w:rPr>
          <w:smallCaps/>
        </w:rPr>
        <w:t>Dupuis</w:t>
      </w:r>
      <w:proofErr w:type="spellEnd"/>
      <w:r w:rsidRPr="008D2FF1">
        <w:t xml:space="preserve">, </w:t>
      </w:r>
      <w:r w:rsidRPr="008D2FF1">
        <w:rPr>
          <w:i/>
          <w:iCs/>
        </w:rPr>
        <w:t>Verso una teologia cristiana del pluralismo religioso</w:t>
      </w:r>
      <w:r w:rsidRPr="008D2FF1">
        <w:t xml:space="preserve">, Queriniana, </w:t>
      </w:r>
      <w:r>
        <w:t xml:space="preserve">Brescia </w:t>
      </w:r>
      <w:smartTag w:uri="urn:schemas-microsoft-com:office:smarttags" w:element="metricconverter">
        <w:smartTagPr>
          <w:attr w:name="ProductID" w:val="1997. In"/>
        </w:smartTagPr>
        <w:r w:rsidRPr="008D2FF1">
          <w:t>1997. In</w:t>
        </w:r>
      </w:smartTag>
      <w:r w:rsidRPr="008D2FF1">
        <w:t xml:space="preserve"> termini generali una simile tendenza è individuata dalla </w:t>
      </w:r>
      <w:r w:rsidRPr="008D2FF1">
        <w:rPr>
          <w:smallCaps/>
        </w:rPr>
        <w:t>CTI</w:t>
      </w:r>
      <w:r w:rsidRPr="008D2FF1">
        <w:t xml:space="preserve">, </w:t>
      </w:r>
      <w:r w:rsidRPr="008D2FF1">
        <w:rPr>
          <w:i/>
          <w:iCs/>
        </w:rPr>
        <w:t xml:space="preserve">Il </w:t>
      </w:r>
      <w:proofErr w:type="spellStart"/>
      <w:r w:rsidRPr="008D2FF1">
        <w:rPr>
          <w:i/>
          <w:iCs/>
        </w:rPr>
        <w:t>cristinesimo</w:t>
      </w:r>
      <w:proofErr w:type="spellEnd"/>
      <w:r w:rsidRPr="008D2FF1">
        <w:rPr>
          <w:i/>
          <w:iCs/>
        </w:rPr>
        <w:t xml:space="preserve"> e le religioni</w:t>
      </w:r>
      <w:r w:rsidRPr="008D2FF1">
        <w:t xml:space="preserve">, </w:t>
      </w:r>
      <w:proofErr w:type="spellStart"/>
      <w:r w:rsidRPr="008D2FF1">
        <w:t>nn</w:t>
      </w:r>
      <w:proofErr w:type="spellEnd"/>
      <w:r w:rsidRPr="008D2FF1">
        <w:t>. 21-22.</w:t>
      </w:r>
    </w:p>
  </w:footnote>
  <w:footnote w:id="15">
    <w:p w:rsidR="007D464A" w:rsidRPr="008D2FF1" w:rsidRDefault="007D464A" w:rsidP="007D464A">
      <w:pPr>
        <w:pStyle w:val="Testonotaapidipagina"/>
        <w:jc w:val="both"/>
      </w:pPr>
      <w:r w:rsidRPr="008D2FF1">
        <w:rPr>
          <w:rStyle w:val="Rimandonotaapidipagina"/>
        </w:rPr>
        <w:footnoteRef/>
      </w:r>
      <w:r w:rsidRPr="008D2FF1">
        <w:t xml:space="preserve"> Per un aggiornato </w:t>
      </w:r>
      <w:r w:rsidRPr="008D2FF1">
        <w:rPr>
          <w:i/>
          <w:iCs/>
        </w:rPr>
        <w:t xml:space="preserve">status </w:t>
      </w:r>
      <w:proofErr w:type="spellStart"/>
      <w:r w:rsidRPr="008D2FF1">
        <w:rPr>
          <w:i/>
          <w:iCs/>
        </w:rPr>
        <w:t>quaestionis</w:t>
      </w:r>
      <w:proofErr w:type="spellEnd"/>
      <w:r w:rsidRPr="008D2FF1">
        <w:t xml:space="preserve"> sull’interpretazione esegetica del Prologo si vedano </w:t>
      </w:r>
      <w:r w:rsidRPr="008D2FF1">
        <w:rPr>
          <w:smallCaps/>
        </w:rPr>
        <w:t>R. Fabris</w:t>
      </w:r>
      <w:r w:rsidRPr="008D2FF1">
        <w:t xml:space="preserve">, «“E il Logos divenne carne”. Il prologo giovanneo», </w:t>
      </w:r>
      <w:r>
        <w:t>in «</w:t>
      </w:r>
      <w:r w:rsidRPr="000B57EE">
        <w:rPr>
          <w:iCs/>
        </w:rPr>
        <w:t>Filosofia e Teologia</w:t>
      </w:r>
      <w:r>
        <w:t>»</w:t>
      </w:r>
      <w:r w:rsidRPr="008D2FF1">
        <w:t xml:space="preserve"> 1 (1999) 57-72; </w:t>
      </w:r>
      <w:r w:rsidRPr="008D2FF1">
        <w:rPr>
          <w:smallCaps/>
        </w:rPr>
        <w:t xml:space="preserve">M. </w:t>
      </w:r>
      <w:proofErr w:type="spellStart"/>
      <w:r w:rsidRPr="008D2FF1">
        <w:rPr>
          <w:smallCaps/>
        </w:rPr>
        <w:t>Theobald</w:t>
      </w:r>
      <w:proofErr w:type="spellEnd"/>
      <w:r>
        <w:t xml:space="preserve">, </w:t>
      </w:r>
      <w:r w:rsidRPr="000B57EE">
        <w:rPr>
          <w:i/>
        </w:rPr>
        <w:t xml:space="preserve">Le </w:t>
      </w:r>
      <w:proofErr w:type="spellStart"/>
      <w:r w:rsidRPr="000B57EE">
        <w:rPr>
          <w:i/>
        </w:rPr>
        <w:t>prologue</w:t>
      </w:r>
      <w:proofErr w:type="spellEnd"/>
      <w:r w:rsidRPr="000B57EE">
        <w:rPr>
          <w:i/>
        </w:rPr>
        <w:t xml:space="preserve"> </w:t>
      </w:r>
      <w:proofErr w:type="spellStart"/>
      <w:r w:rsidRPr="000B57EE">
        <w:rPr>
          <w:i/>
        </w:rPr>
        <w:t>johannique</w:t>
      </w:r>
      <w:proofErr w:type="spellEnd"/>
      <w:r w:rsidRPr="000B57EE">
        <w:rPr>
          <w:i/>
        </w:rPr>
        <w:t xml:space="preserve"> (Jean 1,1-18) et </w:t>
      </w:r>
      <w:proofErr w:type="spellStart"/>
      <w:r w:rsidRPr="000B57EE">
        <w:rPr>
          <w:i/>
        </w:rPr>
        <w:t>ses</w:t>
      </w:r>
      <w:proofErr w:type="spellEnd"/>
      <w:r w:rsidRPr="000B57EE">
        <w:rPr>
          <w:i/>
        </w:rPr>
        <w:t xml:space="preserve"> “</w:t>
      </w:r>
      <w:proofErr w:type="spellStart"/>
      <w:r w:rsidRPr="000B57EE">
        <w:rPr>
          <w:i/>
        </w:rPr>
        <w:t>lectures</w:t>
      </w:r>
      <w:proofErr w:type="spellEnd"/>
      <w:r w:rsidRPr="000B57EE">
        <w:rPr>
          <w:i/>
        </w:rPr>
        <w:t xml:space="preserve"> </w:t>
      </w:r>
      <w:proofErr w:type="spellStart"/>
      <w:r w:rsidRPr="000B57EE">
        <w:rPr>
          <w:i/>
        </w:rPr>
        <w:t>implicites</w:t>
      </w:r>
      <w:proofErr w:type="spellEnd"/>
      <w:r w:rsidRPr="000B57EE">
        <w:rPr>
          <w:i/>
        </w:rPr>
        <w:t>”</w:t>
      </w:r>
      <w:r w:rsidRPr="008D2FF1">
        <w:t xml:space="preserve">, </w:t>
      </w:r>
      <w:r>
        <w:t>in «</w:t>
      </w:r>
      <w:proofErr w:type="spellStart"/>
      <w:r w:rsidRPr="000B57EE">
        <w:rPr>
          <w:iCs/>
        </w:rPr>
        <w:t>Recherches</w:t>
      </w:r>
      <w:proofErr w:type="spellEnd"/>
      <w:r w:rsidRPr="000B57EE">
        <w:rPr>
          <w:iCs/>
        </w:rPr>
        <w:t xml:space="preserve"> de Science </w:t>
      </w:r>
      <w:proofErr w:type="spellStart"/>
      <w:r w:rsidRPr="000B57EE">
        <w:rPr>
          <w:iCs/>
        </w:rPr>
        <w:t>Religieuse</w:t>
      </w:r>
      <w:proofErr w:type="spellEnd"/>
      <w:r>
        <w:t>»</w:t>
      </w:r>
      <w:r w:rsidRPr="008D2FF1">
        <w:t xml:space="preserve"> 83/2 (1995) 193-216; </w:t>
      </w:r>
      <w:r w:rsidRPr="008D2FF1">
        <w:rPr>
          <w:smallCaps/>
        </w:rPr>
        <w:t xml:space="preserve">J. </w:t>
      </w:r>
      <w:proofErr w:type="spellStart"/>
      <w:r w:rsidRPr="008D2FF1">
        <w:rPr>
          <w:smallCaps/>
        </w:rPr>
        <w:t>Zumstein</w:t>
      </w:r>
      <w:proofErr w:type="spellEnd"/>
      <w:r>
        <w:t xml:space="preserve">, </w:t>
      </w:r>
      <w:r w:rsidRPr="000B57EE">
        <w:rPr>
          <w:i/>
        </w:rPr>
        <w:t xml:space="preserve">Le </w:t>
      </w:r>
      <w:proofErr w:type="spellStart"/>
      <w:r w:rsidRPr="000B57EE">
        <w:rPr>
          <w:i/>
        </w:rPr>
        <w:t>prologue</w:t>
      </w:r>
      <w:proofErr w:type="spellEnd"/>
      <w:r w:rsidRPr="000B57EE">
        <w:rPr>
          <w:i/>
        </w:rPr>
        <w:t xml:space="preserve">, </w:t>
      </w:r>
      <w:proofErr w:type="spellStart"/>
      <w:r w:rsidRPr="000B57EE">
        <w:rPr>
          <w:i/>
        </w:rPr>
        <w:t>seuil</w:t>
      </w:r>
      <w:proofErr w:type="spellEnd"/>
      <w:r w:rsidRPr="000B57EE">
        <w:rPr>
          <w:i/>
        </w:rPr>
        <w:t xml:space="preserve"> </w:t>
      </w:r>
      <w:proofErr w:type="spellStart"/>
      <w:r w:rsidRPr="000B57EE">
        <w:rPr>
          <w:i/>
        </w:rPr>
        <w:t>du</w:t>
      </w:r>
      <w:proofErr w:type="spellEnd"/>
      <w:r w:rsidRPr="000B57EE">
        <w:rPr>
          <w:i/>
        </w:rPr>
        <w:t xml:space="preserve"> </w:t>
      </w:r>
      <w:proofErr w:type="spellStart"/>
      <w:r w:rsidRPr="000B57EE">
        <w:rPr>
          <w:i/>
        </w:rPr>
        <w:t>quatrième</w:t>
      </w:r>
      <w:proofErr w:type="spellEnd"/>
      <w:r w:rsidRPr="000B57EE">
        <w:rPr>
          <w:i/>
        </w:rPr>
        <w:t xml:space="preserve"> </w:t>
      </w:r>
      <w:proofErr w:type="spellStart"/>
      <w:r w:rsidRPr="000B57EE">
        <w:rPr>
          <w:i/>
        </w:rPr>
        <w:t>évangile</w:t>
      </w:r>
      <w:proofErr w:type="spellEnd"/>
      <w:r w:rsidRPr="008D2FF1">
        <w:t xml:space="preserve">, </w:t>
      </w:r>
      <w:r w:rsidRPr="008D2FF1">
        <w:rPr>
          <w:i/>
          <w:iCs/>
        </w:rPr>
        <w:t>ivi</w:t>
      </w:r>
      <w:r w:rsidRPr="008D2FF1">
        <w:t>, 217-239.</w:t>
      </w:r>
    </w:p>
  </w:footnote>
  <w:footnote w:id="16">
    <w:p w:rsidR="007D464A" w:rsidRPr="008D2FF1" w:rsidRDefault="007D464A" w:rsidP="007D464A">
      <w:pPr>
        <w:pStyle w:val="Testonotaapidipagina"/>
        <w:jc w:val="both"/>
      </w:pPr>
      <w:r w:rsidRPr="008D2FF1">
        <w:rPr>
          <w:rStyle w:val="Rimandonotaapidipagina"/>
        </w:rPr>
        <w:footnoteRef/>
      </w:r>
      <w:r w:rsidRPr="008D2FF1">
        <w:t xml:space="preserve"> Affronta queste domande </w:t>
      </w:r>
      <w:r w:rsidRPr="008D2FF1">
        <w:rPr>
          <w:smallCaps/>
        </w:rPr>
        <w:t xml:space="preserve">A. </w:t>
      </w:r>
      <w:proofErr w:type="spellStart"/>
      <w:r w:rsidRPr="008D2FF1">
        <w:rPr>
          <w:smallCaps/>
        </w:rPr>
        <w:t>Ducay</w:t>
      </w:r>
      <w:proofErr w:type="spellEnd"/>
      <w:r>
        <w:t xml:space="preserve">, </w:t>
      </w:r>
      <w:r w:rsidRPr="000B57EE">
        <w:rPr>
          <w:i/>
        </w:rPr>
        <w:t>Salvezza nel Logos o salvezza in Cristo? L’inseparabilità tra il Logos e Gesù nel contesto della teologia delle religioni</w:t>
      </w:r>
      <w:r w:rsidRPr="008D2FF1">
        <w:t xml:space="preserve">, </w:t>
      </w:r>
      <w:r>
        <w:t>in «</w:t>
      </w:r>
      <w:r w:rsidRPr="000B57EE">
        <w:rPr>
          <w:iCs/>
        </w:rPr>
        <w:t xml:space="preserve">Annales </w:t>
      </w:r>
      <w:r>
        <w:rPr>
          <w:iCs/>
        </w:rPr>
        <w:t>Teologici</w:t>
      </w:r>
      <w:r>
        <w:t>»</w:t>
      </w:r>
      <w:r w:rsidRPr="008D2FF1">
        <w:t xml:space="preserve"> 1/15 (2001) 257-281, la cui tesi può essere riassunta nelle seguenti notazioni: la salvezza non è opera di un Logos apofatico, trascendente rispetto ad ogni sua manifestazione economica; il teandrismo dell’incarnazione implica che il Logos operi tutto in relazione all’umanità di Cristo.</w:t>
      </w:r>
    </w:p>
  </w:footnote>
  <w:footnote w:id="17">
    <w:p w:rsidR="007D464A" w:rsidRPr="008D2FF1" w:rsidRDefault="007D464A" w:rsidP="007D464A">
      <w:pPr>
        <w:pStyle w:val="Testonotaapidipagina"/>
        <w:jc w:val="both"/>
      </w:pPr>
      <w:r w:rsidRPr="008D2FF1">
        <w:rPr>
          <w:rStyle w:val="Rimandonotaapidipagina"/>
        </w:rPr>
        <w:footnoteRef/>
      </w:r>
      <w:r w:rsidRPr="008D2FF1">
        <w:t xml:space="preserve"> </w:t>
      </w:r>
      <w:r w:rsidRPr="008D2FF1">
        <w:rPr>
          <w:smallCaps/>
        </w:rPr>
        <w:t xml:space="preserve">J. </w:t>
      </w:r>
      <w:proofErr w:type="spellStart"/>
      <w:r w:rsidRPr="008D2FF1">
        <w:rPr>
          <w:smallCaps/>
        </w:rPr>
        <w:t>Dupuis</w:t>
      </w:r>
      <w:proofErr w:type="spellEnd"/>
      <w:r w:rsidRPr="008D2FF1">
        <w:t xml:space="preserve">, </w:t>
      </w:r>
      <w:r w:rsidRPr="008D2FF1">
        <w:rPr>
          <w:i/>
          <w:iCs/>
        </w:rPr>
        <w:t>Verso una teologia cristiana del pluralismo religioso</w:t>
      </w:r>
      <w:r w:rsidRPr="008D2FF1">
        <w:t>, 403-404.</w:t>
      </w:r>
    </w:p>
  </w:footnote>
  <w:footnote w:id="18">
    <w:p w:rsidR="002A18BF" w:rsidRPr="00DF02C9" w:rsidRDefault="002A18BF" w:rsidP="002A18BF">
      <w:pPr>
        <w:pStyle w:val="Testonotaapidipagina"/>
      </w:pPr>
      <w:r w:rsidRPr="00DF02C9">
        <w:rPr>
          <w:rStyle w:val="Rimandonotaapidipagina"/>
        </w:rPr>
        <w:footnoteRef/>
      </w:r>
      <w:r w:rsidRPr="00DF02C9">
        <w:t xml:space="preserve"> </w:t>
      </w:r>
      <w:r w:rsidRPr="00510DED">
        <w:rPr>
          <w:smallCaps/>
        </w:rPr>
        <w:t xml:space="preserve">J. </w:t>
      </w:r>
      <w:proofErr w:type="spellStart"/>
      <w:r w:rsidRPr="00510DED">
        <w:rPr>
          <w:smallCaps/>
        </w:rPr>
        <w:t>Dupuis</w:t>
      </w:r>
      <w:proofErr w:type="spellEnd"/>
      <w:r>
        <w:t xml:space="preserve">, </w:t>
      </w:r>
      <w:r w:rsidRPr="00DF02C9">
        <w:rPr>
          <w:i/>
          <w:iCs/>
        </w:rPr>
        <w:t>Verso una Teologia cristiana del pluralismo religioso</w:t>
      </w:r>
      <w:r>
        <w:t xml:space="preserve">, </w:t>
      </w:r>
      <w:r w:rsidRPr="00DF02C9">
        <w:t xml:space="preserve">Queriniana, </w:t>
      </w:r>
      <w:r>
        <w:t xml:space="preserve">Brescia </w:t>
      </w:r>
      <w:r w:rsidRPr="00DF02C9">
        <w:t>1996</w:t>
      </w:r>
      <w:r>
        <w:t xml:space="preserve">, </w:t>
      </w:r>
      <w:r w:rsidRPr="00DF02C9">
        <w:t>424-437.</w:t>
      </w:r>
    </w:p>
  </w:footnote>
  <w:footnote w:id="19">
    <w:p w:rsidR="002A18BF" w:rsidRPr="00DF02C9" w:rsidRDefault="002A18BF" w:rsidP="002A18BF">
      <w:pPr>
        <w:pStyle w:val="Testonotaapidipagina"/>
        <w:jc w:val="both"/>
      </w:pPr>
      <w:r w:rsidRPr="00DF02C9">
        <w:rPr>
          <w:rStyle w:val="Rimandonotaapidipagina"/>
        </w:rPr>
        <w:footnoteRef/>
      </w:r>
      <w:r w:rsidRPr="00DF02C9">
        <w:t xml:space="preserve"> </w:t>
      </w:r>
      <w:r>
        <w:t>Oltre al già citato</w:t>
      </w:r>
      <w:r w:rsidRPr="00DF02C9">
        <w:t xml:space="preserve"> </w:t>
      </w:r>
      <w:r w:rsidRPr="00DF02C9">
        <w:rPr>
          <w:i/>
          <w:iCs/>
        </w:rPr>
        <w:t>Verso una Teologia cristiana del pluralismo religioso</w:t>
      </w:r>
      <w:r>
        <w:t xml:space="preserve">, </w:t>
      </w:r>
      <w:r w:rsidRPr="00DF02C9">
        <w:t xml:space="preserve">Queriniana, </w:t>
      </w:r>
      <w:r>
        <w:t xml:space="preserve">Brescia 1996, si veda la precedente opera di </w:t>
      </w:r>
      <w:r w:rsidRPr="00510DED">
        <w:rPr>
          <w:smallCaps/>
        </w:rPr>
        <w:t xml:space="preserve">J. </w:t>
      </w:r>
      <w:proofErr w:type="spellStart"/>
      <w:r w:rsidRPr="00510DED">
        <w:rPr>
          <w:smallCaps/>
        </w:rPr>
        <w:t>Dupuis</w:t>
      </w:r>
      <w:proofErr w:type="spellEnd"/>
      <w:r>
        <w:t>,</w:t>
      </w:r>
      <w:r w:rsidRPr="00DF02C9">
        <w:t xml:space="preserve"> </w:t>
      </w:r>
      <w:r w:rsidRPr="00DF02C9">
        <w:rPr>
          <w:i/>
          <w:iCs/>
        </w:rPr>
        <w:t>Gesù Cristo incontro alle religioni</w:t>
      </w:r>
      <w:r>
        <w:t>, Cittadella, Assisi 1991.</w:t>
      </w:r>
    </w:p>
  </w:footnote>
  <w:footnote w:id="20">
    <w:p w:rsidR="002A18BF" w:rsidRPr="00DF02C9" w:rsidRDefault="002A18BF" w:rsidP="002A18BF">
      <w:pPr>
        <w:pStyle w:val="Testonotaapidipagina"/>
      </w:pPr>
      <w:r w:rsidRPr="00DF02C9">
        <w:rPr>
          <w:rStyle w:val="Rimandonotaapidipagina"/>
        </w:rPr>
        <w:footnoteRef/>
      </w:r>
      <w:r w:rsidRPr="00DF02C9">
        <w:t xml:space="preserve"> </w:t>
      </w:r>
      <w:r w:rsidRPr="00DF02C9">
        <w:rPr>
          <w:i/>
          <w:iCs/>
        </w:rPr>
        <w:t>Ivi</w:t>
      </w:r>
      <w:r>
        <w:t>,</w:t>
      </w:r>
      <w:r w:rsidRPr="00DF02C9">
        <w:t xml:space="preserve"> 262-266.</w:t>
      </w:r>
    </w:p>
  </w:footnote>
  <w:footnote w:id="21">
    <w:p w:rsidR="002A18BF" w:rsidRDefault="002A18BF" w:rsidP="002A18BF">
      <w:pPr>
        <w:pStyle w:val="Testonotaapidipagina"/>
        <w:jc w:val="both"/>
      </w:pPr>
      <w:r>
        <w:rPr>
          <w:rStyle w:val="Rimandonotaapidipagina"/>
        </w:rPr>
        <w:footnoteRef/>
      </w:r>
      <w:r>
        <w:t xml:space="preserve"> </w:t>
      </w:r>
      <w:r w:rsidRPr="00510DED">
        <w:rPr>
          <w:smallCaps/>
        </w:rPr>
        <w:t xml:space="preserve">J. </w:t>
      </w:r>
      <w:proofErr w:type="spellStart"/>
      <w:r w:rsidRPr="00510DED">
        <w:rPr>
          <w:smallCaps/>
        </w:rPr>
        <w:t>Dupuis</w:t>
      </w:r>
      <w:proofErr w:type="spellEnd"/>
      <w:r>
        <w:t xml:space="preserve">, </w:t>
      </w:r>
      <w:r>
        <w:rPr>
          <w:i/>
          <w:iCs/>
        </w:rPr>
        <w:t>Il cristianesimo e le religioni. Dalo scontro all’incontro</w:t>
      </w:r>
      <w:r>
        <w:t xml:space="preserve">, </w:t>
      </w:r>
      <w:r w:rsidRPr="00DF02C9">
        <w:t>Queriniana,</w:t>
      </w:r>
      <w:r>
        <w:t xml:space="preserve"> Brescia 2001, 334-340.</w:t>
      </w:r>
    </w:p>
  </w:footnote>
  <w:footnote w:id="22">
    <w:p w:rsidR="002A18BF" w:rsidRPr="00DF02C9" w:rsidRDefault="002A18BF" w:rsidP="002A18BF">
      <w:pPr>
        <w:jc w:val="both"/>
        <w:rPr>
          <w:sz w:val="20"/>
          <w:szCs w:val="20"/>
        </w:rPr>
      </w:pPr>
      <w:r w:rsidRPr="005E0723">
        <w:rPr>
          <w:rStyle w:val="Rimandonotaapidipagina"/>
          <w:sz w:val="20"/>
          <w:szCs w:val="20"/>
        </w:rPr>
        <w:footnoteRef/>
      </w:r>
      <w:r w:rsidRPr="00DF02C9">
        <w:rPr>
          <w:sz w:val="20"/>
          <w:szCs w:val="20"/>
        </w:rPr>
        <w:t xml:space="preserve"> </w:t>
      </w:r>
      <w:r w:rsidRPr="00DF02C9">
        <w:rPr>
          <w:smallCaps/>
          <w:sz w:val="20"/>
          <w:szCs w:val="20"/>
        </w:rPr>
        <w:t>N. Ciola</w:t>
      </w:r>
      <w:r w:rsidRPr="00DF02C9">
        <w:rPr>
          <w:sz w:val="20"/>
          <w:szCs w:val="20"/>
        </w:rPr>
        <w:t xml:space="preserve">, </w:t>
      </w:r>
      <w:r w:rsidRPr="00DF02C9">
        <w:rPr>
          <w:i/>
          <w:iCs/>
          <w:sz w:val="20"/>
          <w:szCs w:val="20"/>
        </w:rPr>
        <w:t xml:space="preserve">Cristologia e Trinità, </w:t>
      </w:r>
      <w:r w:rsidRPr="00DF02C9">
        <w:rPr>
          <w:sz w:val="20"/>
          <w:szCs w:val="20"/>
        </w:rPr>
        <w:t>Borla, Roma 2002, 244-245.</w:t>
      </w:r>
    </w:p>
  </w:footnote>
  <w:footnote w:id="23">
    <w:p w:rsidR="00790BA1" w:rsidRPr="003D752F" w:rsidRDefault="00790BA1" w:rsidP="00790BA1">
      <w:pPr>
        <w:pStyle w:val="Testonotaapidipagina"/>
      </w:pPr>
      <w:r w:rsidRPr="003D752F">
        <w:rPr>
          <w:rStyle w:val="Rimandonotaapidipagina"/>
        </w:rPr>
        <w:footnoteRef/>
      </w:r>
      <w:r w:rsidRPr="003D752F">
        <w:t xml:space="preserve"> </w:t>
      </w:r>
      <w:r w:rsidRPr="003D752F">
        <w:rPr>
          <w:smallCaps/>
        </w:rPr>
        <w:t>M. Bordoni</w:t>
      </w:r>
      <w:r w:rsidRPr="003D752F">
        <w:t xml:space="preserve">, </w:t>
      </w:r>
      <w:r w:rsidRPr="003D752F">
        <w:rPr>
          <w:i/>
          <w:iCs/>
        </w:rPr>
        <w:t>Singolarità e universalità di Gesù Cristo nella riflessione cristologica contemporanea</w:t>
      </w:r>
      <w:r w:rsidRPr="003D752F">
        <w:t xml:space="preserve">, in </w:t>
      </w:r>
      <w:r w:rsidRPr="003D752F">
        <w:rPr>
          <w:smallCaps/>
        </w:rPr>
        <w:t>P. Coda</w:t>
      </w:r>
      <w:r w:rsidRPr="003D752F">
        <w:t xml:space="preserve"> (ed.), </w:t>
      </w:r>
      <w:r w:rsidRPr="003D752F">
        <w:rPr>
          <w:i/>
          <w:iCs/>
        </w:rPr>
        <w:t>L’unico e i molti</w:t>
      </w:r>
      <w:r w:rsidRPr="003D752F">
        <w:t>, Roma, Mursia-PUL, 1997, 98-101.</w:t>
      </w:r>
    </w:p>
  </w:footnote>
  <w:footnote w:id="24">
    <w:p w:rsidR="00790BA1" w:rsidRPr="003D752F" w:rsidRDefault="00790BA1" w:rsidP="00790BA1">
      <w:pPr>
        <w:pStyle w:val="Testonotaapidipagina"/>
      </w:pPr>
      <w:r w:rsidRPr="003D752F">
        <w:rPr>
          <w:rStyle w:val="Rimandonotaapidipagina"/>
        </w:rPr>
        <w:footnoteRef/>
      </w:r>
      <w:r w:rsidRPr="003D752F">
        <w:t xml:space="preserve"> </w:t>
      </w:r>
      <w:r w:rsidRPr="003D752F">
        <w:rPr>
          <w:smallCaps/>
        </w:rPr>
        <w:t>N. Ciola</w:t>
      </w:r>
      <w:r w:rsidRPr="003D752F">
        <w:t xml:space="preserve">, </w:t>
      </w:r>
      <w:r w:rsidRPr="003D752F">
        <w:rPr>
          <w:i/>
          <w:iCs/>
        </w:rPr>
        <w:t xml:space="preserve">Cristologia e Trinità, </w:t>
      </w:r>
      <w:r w:rsidRPr="003D752F">
        <w:t>Borla, Roma, 2002, 243.</w:t>
      </w:r>
    </w:p>
  </w:footnote>
  <w:footnote w:id="25">
    <w:p w:rsidR="00790BA1" w:rsidRPr="003D752F" w:rsidRDefault="00790BA1" w:rsidP="00790BA1">
      <w:pPr>
        <w:pStyle w:val="Testonotaapidipagina"/>
      </w:pPr>
      <w:r w:rsidRPr="003D752F">
        <w:rPr>
          <w:rStyle w:val="Rimandonotaapidipagina"/>
        </w:rPr>
        <w:footnoteRef/>
      </w:r>
      <w:r w:rsidRPr="003D752F">
        <w:t xml:space="preserve"> </w:t>
      </w:r>
      <w:r w:rsidRPr="003D752F">
        <w:rPr>
          <w:i/>
          <w:iCs/>
        </w:rPr>
        <w:t xml:space="preserve">Ivi, </w:t>
      </w:r>
      <w:r w:rsidRPr="003D752F">
        <w:t>242-243.</w:t>
      </w:r>
    </w:p>
  </w:footnote>
  <w:footnote w:id="26">
    <w:p w:rsidR="006C47C5" w:rsidRPr="002105EF" w:rsidRDefault="006C47C5" w:rsidP="006C47C5">
      <w:pPr>
        <w:pStyle w:val="Testonotaapidipagina"/>
        <w:jc w:val="both"/>
      </w:pPr>
      <w:r>
        <w:rPr>
          <w:rStyle w:val="Rimandonotaapidipagina"/>
        </w:rPr>
        <w:footnoteRef/>
      </w:r>
      <w:r w:rsidRPr="002105EF">
        <w:t xml:space="preserve"> </w:t>
      </w:r>
      <w:r w:rsidRPr="00DC3E87">
        <w:rPr>
          <w:smallCaps/>
        </w:rPr>
        <w:t xml:space="preserve">B. </w:t>
      </w:r>
      <w:proofErr w:type="spellStart"/>
      <w:r w:rsidRPr="00DC3E87">
        <w:rPr>
          <w:smallCaps/>
        </w:rPr>
        <w:t>Waldenfels</w:t>
      </w:r>
      <w:proofErr w:type="spellEnd"/>
      <w:r w:rsidRPr="002105EF">
        <w:t xml:space="preserve">, </w:t>
      </w:r>
      <w:r w:rsidRPr="00DC3E87">
        <w:rPr>
          <w:i/>
        </w:rPr>
        <w:t>Estraneità, ospitalità e ostilità</w:t>
      </w:r>
      <w:r w:rsidRPr="002105EF">
        <w:t xml:space="preserve">, </w:t>
      </w:r>
      <w:r>
        <w:t xml:space="preserve">in </w:t>
      </w:r>
      <w:r w:rsidRPr="0006299C">
        <w:rPr>
          <w:smallCaps/>
        </w:rPr>
        <w:t xml:space="preserve">M. Ponzi- V. </w:t>
      </w:r>
      <w:proofErr w:type="spellStart"/>
      <w:r w:rsidRPr="0006299C">
        <w:rPr>
          <w:smallCaps/>
        </w:rPr>
        <w:t>Borsò</w:t>
      </w:r>
      <w:proofErr w:type="spellEnd"/>
      <w:r>
        <w:t xml:space="preserve"> (ed), </w:t>
      </w:r>
      <w:r w:rsidRPr="0006299C">
        <w:rPr>
          <w:i/>
        </w:rPr>
        <w:t>Topografia dell’estraneo. Confini e passaggi</w:t>
      </w:r>
      <w:r>
        <w:t xml:space="preserve">, Bologna 2006, 3-15: qui </w:t>
      </w:r>
      <w:r w:rsidRPr="002105EF">
        <w:t>4.</w:t>
      </w:r>
    </w:p>
  </w:footnote>
  <w:footnote w:id="27">
    <w:p w:rsidR="006C47C5" w:rsidRDefault="006C47C5" w:rsidP="006C47C5">
      <w:pPr>
        <w:pStyle w:val="Testonotaapidipagina"/>
        <w:jc w:val="both"/>
      </w:pPr>
      <w:r>
        <w:rPr>
          <w:rStyle w:val="Rimandonotaapidipagina"/>
        </w:rPr>
        <w:footnoteRef/>
      </w:r>
      <w:r>
        <w:t xml:space="preserve"> Facciamo nostra, come ipotesi di lavoro suggestiva, la «fenomenologia dell’estraneo» di </w:t>
      </w:r>
      <w:r w:rsidRPr="001C1D62">
        <w:rPr>
          <w:smallCaps/>
        </w:rPr>
        <w:t xml:space="preserve">B. </w:t>
      </w:r>
      <w:proofErr w:type="spellStart"/>
      <w:r w:rsidRPr="001C1D62">
        <w:rPr>
          <w:smallCaps/>
        </w:rPr>
        <w:t>Waldenfels</w:t>
      </w:r>
      <w:proofErr w:type="spellEnd"/>
      <w:r>
        <w:t xml:space="preserve">, </w:t>
      </w:r>
      <w:r w:rsidRPr="001C1D62">
        <w:rPr>
          <w:i/>
        </w:rPr>
        <w:t>Fenomenologia dell’estraneità</w:t>
      </w:r>
      <w:r>
        <w:t xml:space="preserve">, Napoli 2002; </w:t>
      </w:r>
      <w:r w:rsidRPr="001C1D62">
        <w:rPr>
          <w:smallCaps/>
        </w:rPr>
        <w:t>Idem</w:t>
      </w:r>
      <w:r>
        <w:t>,</w:t>
      </w:r>
      <w:r w:rsidRPr="001C1D62">
        <w:rPr>
          <w:i/>
        </w:rPr>
        <w:t xml:space="preserve"> Fenomenologia dell’estraneo</w:t>
      </w:r>
      <w:r>
        <w:t>, Milano 2008.</w:t>
      </w:r>
    </w:p>
  </w:footnote>
  <w:footnote w:id="28">
    <w:p w:rsidR="006C47C5" w:rsidRPr="001C1D62" w:rsidRDefault="006C47C5" w:rsidP="006C47C5">
      <w:pPr>
        <w:pStyle w:val="Testonotaapidipagina"/>
        <w:jc w:val="both"/>
      </w:pPr>
      <w:r>
        <w:rPr>
          <w:rStyle w:val="Rimandonotaapidipagina"/>
        </w:rPr>
        <w:footnoteRef/>
      </w:r>
      <w:r w:rsidRPr="001C1D62">
        <w:t xml:space="preserve"> </w:t>
      </w:r>
      <w:r w:rsidRPr="001C1D62">
        <w:rPr>
          <w:smallCaps/>
        </w:rPr>
        <w:t xml:space="preserve">B. </w:t>
      </w:r>
      <w:proofErr w:type="spellStart"/>
      <w:r w:rsidRPr="001C1D62">
        <w:rPr>
          <w:smallCaps/>
        </w:rPr>
        <w:t>Waldenfels</w:t>
      </w:r>
      <w:proofErr w:type="spellEnd"/>
      <w:r w:rsidRPr="001C1D62">
        <w:t xml:space="preserve">, </w:t>
      </w:r>
      <w:proofErr w:type="spellStart"/>
      <w:r w:rsidRPr="001C1D62">
        <w:rPr>
          <w:i/>
        </w:rPr>
        <w:t>Topographie</w:t>
      </w:r>
      <w:proofErr w:type="spellEnd"/>
      <w:r w:rsidRPr="001C1D62">
        <w:rPr>
          <w:i/>
        </w:rPr>
        <w:t xml:space="preserve"> </w:t>
      </w:r>
      <w:proofErr w:type="spellStart"/>
      <w:r w:rsidRPr="001C1D62">
        <w:rPr>
          <w:i/>
        </w:rPr>
        <w:t>des</w:t>
      </w:r>
      <w:proofErr w:type="spellEnd"/>
      <w:r w:rsidRPr="001C1D62">
        <w:rPr>
          <w:i/>
        </w:rPr>
        <w:t xml:space="preserve"> </w:t>
      </w:r>
      <w:proofErr w:type="spellStart"/>
      <w:r w:rsidRPr="001C1D62">
        <w:rPr>
          <w:i/>
        </w:rPr>
        <w:t>Fremden</w:t>
      </w:r>
      <w:proofErr w:type="spellEnd"/>
      <w:r w:rsidRPr="001C1D62">
        <w:rPr>
          <w:i/>
        </w:rPr>
        <w:t xml:space="preserve">. </w:t>
      </w:r>
      <w:proofErr w:type="spellStart"/>
      <w:r w:rsidRPr="001C1D62">
        <w:rPr>
          <w:i/>
        </w:rPr>
        <w:t>Studien</w:t>
      </w:r>
      <w:proofErr w:type="spellEnd"/>
      <w:r w:rsidRPr="001C1D62">
        <w:rPr>
          <w:i/>
        </w:rPr>
        <w:t xml:space="preserve"> </w:t>
      </w:r>
      <w:proofErr w:type="spellStart"/>
      <w:r w:rsidRPr="001C1D62">
        <w:rPr>
          <w:i/>
        </w:rPr>
        <w:t>zur</w:t>
      </w:r>
      <w:proofErr w:type="spellEnd"/>
      <w:r w:rsidRPr="001C1D62">
        <w:rPr>
          <w:i/>
        </w:rPr>
        <w:t xml:space="preserve"> </w:t>
      </w:r>
      <w:proofErr w:type="spellStart"/>
      <w:r w:rsidRPr="001C1D62">
        <w:rPr>
          <w:i/>
        </w:rPr>
        <w:t>Phenomenologie</w:t>
      </w:r>
      <w:proofErr w:type="spellEnd"/>
      <w:r w:rsidRPr="001C1D62">
        <w:rPr>
          <w:i/>
        </w:rPr>
        <w:t xml:space="preserve"> </w:t>
      </w:r>
      <w:proofErr w:type="spellStart"/>
      <w:r w:rsidRPr="001C1D62">
        <w:rPr>
          <w:i/>
        </w:rPr>
        <w:t>des</w:t>
      </w:r>
      <w:proofErr w:type="spellEnd"/>
      <w:r w:rsidRPr="001C1D62">
        <w:rPr>
          <w:i/>
        </w:rPr>
        <w:t xml:space="preserve"> </w:t>
      </w:r>
      <w:proofErr w:type="spellStart"/>
      <w:r w:rsidRPr="001C1D62">
        <w:rPr>
          <w:i/>
        </w:rPr>
        <w:t>Fremden</w:t>
      </w:r>
      <w:proofErr w:type="spellEnd"/>
      <w:r w:rsidRPr="001C1D62">
        <w:t xml:space="preserve">, Frankfurt </w:t>
      </w:r>
      <w:proofErr w:type="spellStart"/>
      <w:r w:rsidRPr="001C1D62">
        <w:t>am</w:t>
      </w:r>
      <w:proofErr w:type="spellEnd"/>
      <w:r w:rsidRPr="001C1D62">
        <w:t xml:space="preserve"> </w:t>
      </w:r>
      <w:proofErr w:type="spellStart"/>
      <w:r w:rsidRPr="001C1D62">
        <w:t>Main</w:t>
      </w:r>
      <w:proofErr w:type="spellEnd"/>
      <w:r w:rsidRPr="001C1D62">
        <w:t xml:space="preserve"> 1997, 11.</w:t>
      </w:r>
    </w:p>
  </w:footnote>
  <w:footnote w:id="29">
    <w:p w:rsidR="006C47C5" w:rsidRDefault="006C47C5" w:rsidP="006C47C5">
      <w:pPr>
        <w:pStyle w:val="Testonotaapidipagina"/>
        <w:jc w:val="both"/>
      </w:pPr>
      <w:r>
        <w:rPr>
          <w:rStyle w:val="Rimandonotaapidipagina"/>
        </w:rPr>
        <w:footnoteRef/>
      </w:r>
      <w:r>
        <w:t xml:space="preserve"> Analogamente, per altra via, tale scoperta è ben espressa da </w:t>
      </w:r>
      <w:r w:rsidRPr="00DC3E87">
        <w:rPr>
          <w:smallCaps/>
        </w:rPr>
        <w:t xml:space="preserve">P. </w:t>
      </w:r>
      <w:proofErr w:type="spellStart"/>
      <w:r w:rsidRPr="00DC3E87">
        <w:rPr>
          <w:smallCaps/>
        </w:rPr>
        <w:t>Ri</w:t>
      </w:r>
      <w:r>
        <w:rPr>
          <w:smallCaps/>
        </w:rPr>
        <w:t>c</w:t>
      </w:r>
      <w:r w:rsidRPr="00DC3E87">
        <w:rPr>
          <w:smallCaps/>
        </w:rPr>
        <w:t>oeur</w:t>
      </w:r>
      <w:proofErr w:type="spellEnd"/>
      <w:r>
        <w:t xml:space="preserve">, </w:t>
      </w:r>
      <w:r w:rsidRPr="00DC3E87">
        <w:rPr>
          <w:i/>
        </w:rPr>
        <w:t>Sé come un altro</w:t>
      </w:r>
      <w:r>
        <w:t>, Milano 2005.</w:t>
      </w:r>
    </w:p>
  </w:footnote>
  <w:footnote w:id="30">
    <w:p w:rsidR="006C47C5" w:rsidRDefault="006C47C5" w:rsidP="006C47C5">
      <w:pPr>
        <w:pStyle w:val="Testonotaapidipagina"/>
        <w:jc w:val="both"/>
      </w:pPr>
      <w:r>
        <w:rPr>
          <w:rStyle w:val="Rimandonotaapidipagina"/>
        </w:rPr>
        <w:footnoteRef/>
      </w:r>
      <w:r>
        <w:t xml:space="preserve"> </w:t>
      </w:r>
      <w:r w:rsidRPr="0006299C">
        <w:rPr>
          <w:smallCaps/>
        </w:rPr>
        <w:t xml:space="preserve">B. </w:t>
      </w:r>
      <w:proofErr w:type="spellStart"/>
      <w:r w:rsidRPr="0006299C">
        <w:rPr>
          <w:smallCaps/>
        </w:rPr>
        <w:t>Waldenfels</w:t>
      </w:r>
      <w:proofErr w:type="spellEnd"/>
      <w:r>
        <w:t xml:space="preserve">, </w:t>
      </w:r>
      <w:r w:rsidRPr="0006299C">
        <w:rPr>
          <w:i/>
        </w:rPr>
        <w:t>Fenomenologia dell’estraneo</w:t>
      </w:r>
      <w:r>
        <w:t>, Milano 2008, 138-139.</w:t>
      </w:r>
    </w:p>
  </w:footnote>
  <w:footnote w:id="31">
    <w:p w:rsidR="00361B1F" w:rsidRDefault="00361B1F" w:rsidP="00361B1F">
      <w:pPr>
        <w:pStyle w:val="Testonotaapidipagina"/>
        <w:jc w:val="both"/>
      </w:pPr>
      <w:r>
        <w:rPr>
          <w:rStyle w:val="Rimandonotaapidipagina"/>
        </w:rPr>
        <w:footnoteRef/>
      </w:r>
      <w:r>
        <w:t xml:space="preserve"> </w:t>
      </w:r>
      <w:r w:rsidRPr="00041C33">
        <w:rPr>
          <w:smallCaps/>
        </w:rPr>
        <w:t xml:space="preserve">P. </w:t>
      </w:r>
      <w:proofErr w:type="spellStart"/>
      <w:r w:rsidRPr="00041C33">
        <w:rPr>
          <w:smallCaps/>
        </w:rPr>
        <w:t>Ricoeur</w:t>
      </w:r>
      <w:proofErr w:type="spellEnd"/>
      <w:r>
        <w:t xml:space="preserve">, </w:t>
      </w:r>
      <w:proofErr w:type="spellStart"/>
      <w:r w:rsidRPr="00041C33">
        <w:rPr>
          <w:i/>
        </w:rPr>
        <w:t>Civilisation</w:t>
      </w:r>
      <w:proofErr w:type="spellEnd"/>
      <w:r w:rsidRPr="00041C33">
        <w:rPr>
          <w:i/>
        </w:rPr>
        <w:t xml:space="preserve"> </w:t>
      </w:r>
      <w:proofErr w:type="spellStart"/>
      <w:r w:rsidRPr="00041C33">
        <w:rPr>
          <w:i/>
        </w:rPr>
        <w:t>universelle</w:t>
      </w:r>
      <w:proofErr w:type="spellEnd"/>
      <w:r>
        <w:rPr>
          <w:i/>
        </w:rPr>
        <w:t xml:space="preserve"> </w:t>
      </w:r>
      <w:r w:rsidRPr="00041C33">
        <w:rPr>
          <w:i/>
        </w:rPr>
        <w:t xml:space="preserve">et </w:t>
      </w:r>
      <w:proofErr w:type="spellStart"/>
      <w:r w:rsidRPr="00041C33">
        <w:rPr>
          <w:i/>
        </w:rPr>
        <w:t>cultures</w:t>
      </w:r>
      <w:proofErr w:type="spellEnd"/>
      <w:r w:rsidRPr="00041C33">
        <w:rPr>
          <w:i/>
        </w:rPr>
        <w:t xml:space="preserve"> </w:t>
      </w:r>
      <w:proofErr w:type="spellStart"/>
      <w:r w:rsidRPr="00041C33">
        <w:rPr>
          <w:i/>
        </w:rPr>
        <w:t>nationales</w:t>
      </w:r>
      <w:proofErr w:type="spellEnd"/>
      <w:r>
        <w:t xml:space="preserve">, in </w:t>
      </w:r>
      <w:r w:rsidRPr="00E018B4">
        <w:rPr>
          <w:i/>
        </w:rPr>
        <w:t xml:space="preserve">Histoire et </w:t>
      </w:r>
      <w:proofErr w:type="spellStart"/>
      <w:r w:rsidRPr="00E018B4">
        <w:rPr>
          <w:i/>
        </w:rPr>
        <w:t>Verité</w:t>
      </w:r>
      <w:proofErr w:type="spellEnd"/>
      <w:r>
        <w:t>, Paris 1955, 336.</w:t>
      </w:r>
    </w:p>
  </w:footnote>
  <w:footnote w:id="32">
    <w:p w:rsidR="00361B1F" w:rsidRDefault="00361B1F" w:rsidP="00361B1F">
      <w:pPr>
        <w:pStyle w:val="Testonotaapidipagina"/>
        <w:jc w:val="both"/>
      </w:pPr>
      <w:r>
        <w:rPr>
          <w:rStyle w:val="Rimandonotaapidipagina"/>
        </w:rPr>
        <w:footnoteRef/>
      </w:r>
      <w:r>
        <w:t xml:space="preserve"> </w:t>
      </w:r>
      <w:r w:rsidRPr="00F657BB">
        <w:rPr>
          <w:smallCaps/>
        </w:rPr>
        <w:t>F. Riva – P</w:t>
      </w:r>
      <w:r>
        <w:rPr>
          <w:smallCaps/>
        </w:rPr>
        <w:t>.</w:t>
      </w:r>
      <w:r w:rsidRPr="00F657BB">
        <w:rPr>
          <w:smallCaps/>
        </w:rPr>
        <w:t xml:space="preserve"> </w:t>
      </w:r>
      <w:proofErr w:type="spellStart"/>
      <w:r w:rsidRPr="00F657BB">
        <w:rPr>
          <w:smallCaps/>
        </w:rPr>
        <w:t>Sequeri</w:t>
      </w:r>
      <w:proofErr w:type="spellEnd"/>
      <w:r>
        <w:t xml:space="preserve">, </w:t>
      </w:r>
      <w:r w:rsidRPr="00F657BB">
        <w:rPr>
          <w:i/>
        </w:rPr>
        <w:t>Segni della destinazione. L’ethos occidentale e il sacramento</w:t>
      </w:r>
      <w:r>
        <w:t xml:space="preserve">, Assisi 2009, 5. Una suggestiva interpretazione di questa situazione si trova in </w:t>
      </w:r>
      <w:r w:rsidRPr="00A30DBE">
        <w:rPr>
          <w:smallCaps/>
        </w:rPr>
        <w:t xml:space="preserve">R. </w:t>
      </w:r>
      <w:proofErr w:type="spellStart"/>
      <w:r w:rsidRPr="00A30DBE">
        <w:rPr>
          <w:smallCaps/>
        </w:rPr>
        <w:t>Panikkar</w:t>
      </w:r>
      <w:proofErr w:type="spellEnd"/>
      <w:r>
        <w:t xml:space="preserve">, </w:t>
      </w:r>
      <w:r w:rsidRPr="00A30DBE">
        <w:rPr>
          <w:i/>
        </w:rPr>
        <w:t>Pluralismo e interculturalità. Culture e religioni in dialogo</w:t>
      </w:r>
      <w:r>
        <w:t xml:space="preserve">, in </w:t>
      </w:r>
      <w:r w:rsidRPr="00A30DBE">
        <w:rPr>
          <w:i/>
        </w:rPr>
        <w:t>Opera Omnia</w:t>
      </w:r>
      <w:r>
        <w:t xml:space="preserve"> VI/1, Milano 2009, 11: «Ci sono invarianti umani, ma non ci sono universali culturali… Tutti gli uomini mangiano e dormono, ma il senso del mangiare e del dormire, non è lo stesso nelle diverse culture». Gli invarianti umani sono intesi come dati di fatto, come il pensare, credere, parlare e amare, ma lo stesso non vale per i dati culturali, perché ogni cultura parla la sua lingua.</w:t>
      </w:r>
    </w:p>
  </w:footnote>
  <w:footnote w:id="33">
    <w:p w:rsidR="006C47C5" w:rsidRDefault="006C47C5" w:rsidP="006C47C5">
      <w:pPr>
        <w:pStyle w:val="Testonotaapidipagina"/>
        <w:jc w:val="both"/>
      </w:pPr>
      <w:r>
        <w:rPr>
          <w:rStyle w:val="Rimandonotaapidipagina"/>
        </w:rPr>
        <w:footnoteRef/>
      </w:r>
      <w:r>
        <w:t xml:space="preserve"> </w:t>
      </w:r>
      <w:r w:rsidRPr="00562951">
        <w:rPr>
          <w:i/>
        </w:rPr>
        <w:t xml:space="preserve">Epistola a </w:t>
      </w:r>
      <w:proofErr w:type="spellStart"/>
      <w:r w:rsidRPr="00562951">
        <w:rPr>
          <w:i/>
        </w:rPr>
        <w:t>Diogneto</w:t>
      </w:r>
      <w:proofErr w:type="spellEnd"/>
      <w:r>
        <w:t xml:space="preserve">, c. 5: edizione critica di </w:t>
      </w:r>
      <w:r w:rsidRPr="00411DBC">
        <w:rPr>
          <w:smallCaps/>
        </w:rPr>
        <w:t>G. Bosio</w:t>
      </w:r>
      <w:r>
        <w:t xml:space="preserve">, </w:t>
      </w:r>
      <w:r w:rsidRPr="00411DBC">
        <w:rPr>
          <w:i/>
        </w:rPr>
        <w:t>I Padri Apostolici II</w:t>
      </w:r>
      <w:r>
        <w:t>, Torino 1966, 302.</w:t>
      </w:r>
    </w:p>
  </w:footnote>
  <w:footnote w:id="34">
    <w:p w:rsidR="006C47C5" w:rsidRDefault="006C47C5" w:rsidP="006C47C5">
      <w:pPr>
        <w:pStyle w:val="Testonotaapidipagina"/>
        <w:jc w:val="both"/>
      </w:pPr>
      <w:r>
        <w:rPr>
          <w:rStyle w:val="Rimandonotaapidipagina"/>
        </w:rPr>
        <w:footnoteRef/>
      </w:r>
      <w:r>
        <w:t xml:space="preserve"> Questo tipo di esperienza dell’altro, inteso come «pungolo dell’estraneo», deve vigilare sulle strategie eurocentriche del «</w:t>
      </w:r>
      <w:proofErr w:type="spellStart"/>
      <w:r>
        <w:t>logocentrismo</w:t>
      </w:r>
      <w:proofErr w:type="spellEnd"/>
      <w:r>
        <w:t>» occidentale. Queste pretendono che il cittadino europeo disponga di un logos universale che fonda la possibilità di un dialogo simmetrico e conciliante con tutti gli altri, un dialogo che porterà a costruire un mondo comune. Si presuppone che il mondo proprio e quello estraneo siano parti di uno spazio di pensiero totale, onnicomprensivo, che supera la differenze. Tale logos della ragione universale si presenta come un centro sublime che si trova ovunque e in nessuna parte. Il proprio della razionalità europea diventa il tutto e l’universale. Si creano così dinamiche di esclusione o superiorità. L’alternativa però non può consistere nemmeno solo nella frammentazione a oltranza delle culture, che condannerebbe all’incomunicabilità.</w:t>
      </w:r>
    </w:p>
  </w:footnote>
  <w:footnote w:id="35">
    <w:p w:rsidR="006C47C5" w:rsidRDefault="006C47C5" w:rsidP="006C47C5">
      <w:pPr>
        <w:pStyle w:val="Testonotaapidipagina"/>
        <w:jc w:val="both"/>
      </w:pPr>
      <w:r>
        <w:rPr>
          <w:rStyle w:val="Rimandonotaapidipagina"/>
        </w:rPr>
        <w:footnoteRef/>
      </w:r>
      <w:r>
        <w:t xml:space="preserve"> </w:t>
      </w:r>
      <w:r w:rsidRPr="00B67DA5">
        <w:rPr>
          <w:smallCaps/>
        </w:rPr>
        <w:t xml:space="preserve">P. </w:t>
      </w:r>
      <w:proofErr w:type="spellStart"/>
      <w:r w:rsidRPr="00B67DA5">
        <w:rPr>
          <w:smallCaps/>
        </w:rPr>
        <w:t>Ricouer</w:t>
      </w:r>
      <w:proofErr w:type="spellEnd"/>
      <w:r>
        <w:t xml:space="preserve">, </w:t>
      </w:r>
      <w:r w:rsidRPr="00B67DA5">
        <w:rPr>
          <w:i/>
        </w:rPr>
        <w:t>La traduzione. Una sfida etica</w:t>
      </w:r>
      <w:r>
        <w:t>, Brescia 2001. C’è un’ospitalità linguistica che è la traduzione. Il suo presupposto è che sia possibile sempre dire la stessa cosa in un altro modo. Certo, restano elementi intraducibili in una cultura… ma ci sono analogie di esperienza che permettono una qualche forma di traduzione. Nella traduzione, infatti, non si tratta di annullare la differenza dell’altro ma di costruire ponti.</w:t>
      </w:r>
    </w:p>
  </w:footnote>
  <w:footnote w:id="36">
    <w:p w:rsidR="006C47C5" w:rsidRPr="00EA03BE" w:rsidRDefault="006C47C5" w:rsidP="006C47C5">
      <w:pPr>
        <w:jc w:val="both"/>
        <w:rPr>
          <w:sz w:val="20"/>
          <w:szCs w:val="20"/>
        </w:rPr>
      </w:pPr>
      <w:r w:rsidRPr="00EA03BE">
        <w:rPr>
          <w:rStyle w:val="Rimandonotaapidipagina"/>
          <w:sz w:val="20"/>
          <w:szCs w:val="20"/>
        </w:rPr>
        <w:footnoteRef/>
      </w:r>
      <w:r w:rsidRPr="00EA03BE">
        <w:rPr>
          <w:sz w:val="20"/>
          <w:szCs w:val="20"/>
        </w:rPr>
        <w:t xml:space="preserve"> </w:t>
      </w:r>
      <w:r w:rsidRPr="00EA03BE">
        <w:rPr>
          <w:smallCaps/>
          <w:sz w:val="20"/>
          <w:szCs w:val="20"/>
        </w:rPr>
        <w:t>M. Crociata</w:t>
      </w:r>
      <w:r w:rsidRPr="00EA03BE">
        <w:rPr>
          <w:sz w:val="20"/>
          <w:szCs w:val="20"/>
        </w:rPr>
        <w:t xml:space="preserve"> (ed), </w:t>
      </w:r>
      <w:r w:rsidRPr="00EA03BE">
        <w:rPr>
          <w:i/>
          <w:sz w:val="20"/>
          <w:szCs w:val="20"/>
        </w:rPr>
        <w:t>Teologia delle religioni. Bilanci e prospettive</w:t>
      </w:r>
      <w:r w:rsidRPr="00EA03BE">
        <w:rPr>
          <w:sz w:val="20"/>
          <w:szCs w:val="20"/>
        </w:rPr>
        <w:t xml:space="preserve">, Milano 2001; </w:t>
      </w:r>
      <w:r w:rsidRPr="00EA03BE">
        <w:rPr>
          <w:smallCaps/>
          <w:sz w:val="20"/>
          <w:szCs w:val="20"/>
        </w:rPr>
        <w:t>M. Crociata</w:t>
      </w:r>
      <w:r w:rsidRPr="00EA03BE">
        <w:rPr>
          <w:sz w:val="20"/>
          <w:szCs w:val="20"/>
        </w:rPr>
        <w:t xml:space="preserve"> (ed), </w:t>
      </w:r>
      <w:r w:rsidRPr="00EA03BE">
        <w:rPr>
          <w:i/>
          <w:sz w:val="20"/>
          <w:szCs w:val="20"/>
        </w:rPr>
        <w:t>Teologia delle religioni. La questione del metodo</w:t>
      </w:r>
      <w:r>
        <w:rPr>
          <w:sz w:val="20"/>
          <w:szCs w:val="20"/>
        </w:rPr>
        <w:t xml:space="preserve">, Roma </w:t>
      </w:r>
      <w:r w:rsidRPr="00EA03BE">
        <w:rPr>
          <w:sz w:val="20"/>
          <w:szCs w:val="20"/>
        </w:rPr>
        <w:t xml:space="preserve">2006; </w:t>
      </w:r>
      <w:r w:rsidRPr="00EA03BE">
        <w:rPr>
          <w:smallCaps/>
          <w:sz w:val="20"/>
          <w:szCs w:val="20"/>
        </w:rPr>
        <w:t xml:space="preserve">P.F. </w:t>
      </w:r>
      <w:proofErr w:type="spellStart"/>
      <w:r w:rsidRPr="00EA03BE">
        <w:rPr>
          <w:smallCaps/>
          <w:sz w:val="20"/>
          <w:szCs w:val="20"/>
        </w:rPr>
        <w:t>Knitter</w:t>
      </w:r>
      <w:proofErr w:type="spellEnd"/>
      <w:r w:rsidRPr="00EA03BE">
        <w:rPr>
          <w:sz w:val="20"/>
          <w:szCs w:val="20"/>
        </w:rPr>
        <w:t xml:space="preserve">, </w:t>
      </w:r>
      <w:r w:rsidRPr="00EA03BE">
        <w:rPr>
          <w:i/>
          <w:sz w:val="20"/>
          <w:szCs w:val="20"/>
        </w:rPr>
        <w:t>Introduzione alle Teologie delle Religioni, Brescia</w:t>
      </w:r>
      <w:r>
        <w:rPr>
          <w:sz w:val="20"/>
          <w:szCs w:val="20"/>
        </w:rPr>
        <w:t xml:space="preserve">, Brescia </w:t>
      </w:r>
      <w:r w:rsidRPr="00EA03BE">
        <w:rPr>
          <w:sz w:val="20"/>
          <w:szCs w:val="20"/>
        </w:rPr>
        <w:t xml:space="preserve">2005; </w:t>
      </w:r>
      <w:r w:rsidRPr="00EA03BE">
        <w:rPr>
          <w:smallCaps/>
          <w:sz w:val="20"/>
          <w:szCs w:val="20"/>
        </w:rPr>
        <w:t>A. Cozzi</w:t>
      </w:r>
      <w:r w:rsidRPr="00EA03BE">
        <w:rPr>
          <w:sz w:val="20"/>
          <w:szCs w:val="20"/>
        </w:rPr>
        <w:t xml:space="preserve">, </w:t>
      </w:r>
      <w:r w:rsidRPr="00EA03BE">
        <w:rPr>
          <w:i/>
          <w:sz w:val="20"/>
          <w:szCs w:val="20"/>
        </w:rPr>
        <w:t>Gesù Cristo tra le religioni. Mediatore dell’originario</w:t>
      </w:r>
      <w:r>
        <w:rPr>
          <w:sz w:val="20"/>
          <w:szCs w:val="20"/>
        </w:rPr>
        <w:t xml:space="preserve">, Assisi </w:t>
      </w:r>
      <w:r w:rsidRPr="00EA03BE">
        <w:rPr>
          <w:sz w:val="20"/>
          <w:szCs w:val="20"/>
        </w:rPr>
        <w:t xml:space="preserve">2004; </w:t>
      </w:r>
      <w:r w:rsidRPr="00EA03BE">
        <w:rPr>
          <w:smallCaps/>
          <w:sz w:val="20"/>
          <w:szCs w:val="20"/>
        </w:rPr>
        <w:t>P. Coda</w:t>
      </w:r>
      <w:r w:rsidRPr="00EA03BE">
        <w:rPr>
          <w:sz w:val="20"/>
          <w:szCs w:val="20"/>
        </w:rPr>
        <w:t xml:space="preserve">, </w:t>
      </w:r>
      <w:r w:rsidRPr="00EA03BE">
        <w:rPr>
          <w:i/>
          <w:iCs/>
          <w:sz w:val="20"/>
          <w:szCs w:val="20"/>
        </w:rPr>
        <w:t>Il Logos e il Nulla. Trinità, religioni, mistica</w:t>
      </w:r>
      <w:r w:rsidRPr="00EA03BE">
        <w:rPr>
          <w:sz w:val="20"/>
          <w:szCs w:val="20"/>
        </w:rPr>
        <w:t>,</w:t>
      </w:r>
      <w:r>
        <w:rPr>
          <w:sz w:val="20"/>
          <w:szCs w:val="20"/>
        </w:rPr>
        <w:t xml:space="preserve"> Roma </w:t>
      </w:r>
      <w:r w:rsidRPr="00EA03BE">
        <w:rPr>
          <w:sz w:val="20"/>
          <w:szCs w:val="20"/>
        </w:rPr>
        <w:t>2003.</w:t>
      </w:r>
    </w:p>
  </w:footnote>
  <w:footnote w:id="37">
    <w:p w:rsidR="006C47C5" w:rsidRDefault="006C47C5" w:rsidP="006C47C5">
      <w:pPr>
        <w:pStyle w:val="Testonotaapidipagina"/>
        <w:jc w:val="both"/>
      </w:pPr>
      <w:r>
        <w:rPr>
          <w:rStyle w:val="Rimandonotaapidipagina"/>
        </w:rPr>
        <w:footnoteRef/>
      </w:r>
      <w:r>
        <w:t xml:space="preserve"> Per una presentazione introduttiva del dibattito si veda </w:t>
      </w:r>
      <w:r w:rsidRPr="00EA03BE">
        <w:rPr>
          <w:smallCaps/>
        </w:rPr>
        <w:t>Commissione Teologica Internazionale</w:t>
      </w:r>
      <w:r w:rsidRPr="00EA03BE">
        <w:t xml:space="preserve">, </w:t>
      </w:r>
      <w:r w:rsidRPr="00EA03BE">
        <w:rPr>
          <w:i/>
          <w:iCs/>
        </w:rPr>
        <w:t>Il cristianesimo e le religioni</w:t>
      </w:r>
      <w:r w:rsidRPr="00EA03BE">
        <w:t>, in «</w:t>
      </w:r>
      <w:r>
        <w:t xml:space="preserve">Il </w:t>
      </w:r>
      <w:r w:rsidRPr="00EA03BE">
        <w:t>Regno Documenti» 3 (1997) 529-536</w:t>
      </w:r>
      <w:r>
        <w:t>.</w:t>
      </w:r>
    </w:p>
  </w:footnote>
  <w:footnote w:id="38">
    <w:p w:rsidR="006C47C5" w:rsidRDefault="006C47C5" w:rsidP="006C47C5">
      <w:pPr>
        <w:pStyle w:val="Testonotaapidipagina"/>
        <w:jc w:val="both"/>
      </w:pPr>
      <w:r>
        <w:rPr>
          <w:rStyle w:val="Rimandonotaapidipagina"/>
        </w:rPr>
        <w:footnoteRef/>
      </w:r>
      <w:r>
        <w:t xml:space="preserve"> Per queste considerazioni si veda </w:t>
      </w:r>
      <w:r w:rsidRPr="00245B65">
        <w:rPr>
          <w:smallCaps/>
          <w:szCs w:val="23"/>
        </w:rPr>
        <w:t xml:space="preserve">C. </w:t>
      </w:r>
      <w:proofErr w:type="spellStart"/>
      <w:r w:rsidRPr="00245B65">
        <w:rPr>
          <w:smallCaps/>
          <w:szCs w:val="23"/>
        </w:rPr>
        <w:t>Theobald</w:t>
      </w:r>
      <w:proofErr w:type="spellEnd"/>
      <w:r>
        <w:t xml:space="preserve">, </w:t>
      </w:r>
      <w:smartTag w:uri="urn:schemas-microsoft-com:office:smarttags" w:element="PersonName">
        <w:smartTagPr>
          <w:attr w:name="ProductID" w:val="La Rivelazione"/>
        </w:smartTagPr>
        <w:r w:rsidRPr="00245B65">
          <w:rPr>
            <w:i/>
          </w:rPr>
          <w:t>La Rivelazione</w:t>
        </w:r>
      </w:smartTag>
      <w:r>
        <w:t xml:space="preserve">, Bologna 2006; </w:t>
      </w:r>
      <w:r w:rsidRPr="0088180E">
        <w:rPr>
          <w:smallCaps/>
        </w:rPr>
        <w:t>Idem</w:t>
      </w:r>
      <w:r>
        <w:t xml:space="preserve">, Lo stile della vita cristiana, Magnano 2015; </w:t>
      </w:r>
      <w:r w:rsidRPr="0088180E">
        <w:rPr>
          <w:smallCaps/>
        </w:rPr>
        <w:t>Idem</w:t>
      </w:r>
      <w:r>
        <w:t xml:space="preserve">, </w:t>
      </w:r>
      <w:r w:rsidRPr="00771C20">
        <w:rPr>
          <w:i/>
        </w:rPr>
        <w:t>Il cristianesimo come stile. Un modo di fare teologia nella postmodernità</w:t>
      </w:r>
      <w:r>
        <w:t>, Vol. 1-2, Bologna 2009.</w:t>
      </w:r>
    </w:p>
  </w:footnote>
  <w:footnote w:id="39">
    <w:p w:rsidR="006C47C5" w:rsidRDefault="006C47C5" w:rsidP="006C47C5">
      <w:pPr>
        <w:pStyle w:val="Testonotaapidipagina"/>
      </w:pPr>
      <w:r>
        <w:rPr>
          <w:rStyle w:val="Rimandonotaapidipagina"/>
        </w:rPr>
        <w:footnoteRef/>
      </w:r>
      <w:r>
        <w:t xml:space="preserve"> </w:t>
      </w:r>
      <w:r w:rsidRPr="00245B65">
        <w:rPr>
          <w:smallCaps/>
          <w:szCs w:val="23"/>
        </w:rPr>
        <w:t xml:space="preserve">C. </w:t>
      </w:r>
      <w:proofErr w:type="spellStart"/>
      <w:r w:rsidRPr="00245B65">
        <w:rPr>
          <w:smallCaps/>
          <w:szCs w:val="23"/>
        </w:rPr>
        <w:t>Theobald</w:t>
      </w:r>
      <w:proofErr w:type="spellEnd"/>
      <w:r>
        <w:t xml:space="preserve">, </w:t>
      </w:r>
      <w:smartTag w:uri="urn:schemas-microsoft-com:office:smarttags" w:element="PersonName">
        <w:smartTagPr>
          <w:attr w:name="ProductID" w:val="La Rivelazione"/>
        </w:smartTagPr>
        <w:r w:rsidRPr="00245B65">
          <w:rPr>
            <w:i/>
          </w:rPr>
          <w:t>La Rivelazione</w:t>
        </w:r>
      </w:smartTag>
      <w:r>
        <w:t>, 132-133.</w:t>
      </w:r>
    </w:p>
  </w:footnote>
  <w:footnote w:id="40">
    <w:p w:rsidR="006C47C5" w:rsidRDefault="006C47C5" w:rsidP="006C47C5">
      <w:pPr>
        <w:pStyle w:val="Testonotaapidipagina"/>
      </w:pPr>
      <w:r>
        <w:rPr>
          <w:rStyle w:val="Rimandonotaapidipagina"/>
        </w:rPr>
        <w:footnoteRef/>
      </w:r>
      <w:r>
        <w:t xml:space="preserve"> </w:t>
      </w:r>
      <w:r w:rsidRPr="002212FF">
        <w:rPr>
          <w:i/>
        </w:rPr>
        <w:t>Ivi</w:t>
      </w:r>
      <w:r>
        <w:t>, 77.</w:t>
      </w:r>
    </w:p>
  </w:footnote>
  <w:footnote w:id="41">
    <w:p w:rsidR="006C47C5" w:rsidRPr="00EB6C3C" w:rsidRDefault="006C47C5" w:rsidP="006C47C5">
      <w:pPr>
        <w:pStyle w:val="Testonotaapidipagina"/>
        <w:jc w:val="both"/>
      </w:pPr>
      <w:r>
        <w:rPr>
          <w:rStyle w:val="Rimandonotaapidipagina"/>
        </w:rPr>
        <w:footnoteRef/>
      </w:r>
      <w:r>
        <w:t xml:space="preserve"> Su questa intuizione si veda utilmente </w:t>
      </w:r>
      <w:r w:rsidRPr="003927AF">
        <w:rPr>
          <w:smallCaps/>
        </w:rPr>
        <w:t xml:space="preserve">B.J. von </w:t>
      </w:r>
      <w:proofErr w:type="spellStart"/>
      <w:r w:rsidRPr="003927AF">
        <w:rPr>
          <w:smallCaps/>
        </w:rPr>
        <w:t>Hilberath</w:t>
      </w:r>
      <w:proofErr w:type="spellEnd"/>
      <w:r w:rsidRPr="003927AF">
        <w:t xml:space="preserve">, </w:t>
      </w:r>
      <w:proofErr w:type="spellStart"/>
      <w:r w:rsidRPr="003927AF">
        <w:rPr>
          <w:i/>
        </w:rPr>
        <w:t>Vom</w:t>
      </w:r>
      <w:proofErr w:type="spellEnd"/>
      <w:r w:rsidRPr="003927AF">
        <w:rPr>
          <w:i/>
        </w:rPr>
        <w:t xml:space="preserve"> </w:t>
      </w:r>
      <w:proofErr w:type="spellStart"/>
      <w:r w:rsidRPr="003927AF">
        <w:rPr>
          <w:i/>
        </w:rPr>
        <w:t>heiligen</w:t>
      </w:r>
      <w:proofErr w:type="spellEnd"/>
      <w:r w:rsidRPr="003927AF">
        <w:rPr>
          <w:i/>
        </w:rPr>
        <w:t xml:space="preserve"> </w:t>
      </w:r>
      <w:proofErr w:type="spellStart"/>
      <w:r w:rsidRPr="003927AF">
        <w:rPr>
          <w:i/>
        </w:rPr>
        <w:t>Geist</w:t>
      </w:r>
      <w:proofErr w:type="spellEnd"/>
      <w:r w:rsidRPr="003927AF">
        <w:rPr>
          <w:i/>
        </w:rPr>
        <w:t xml:space="preserve"> </w:t>
      </w:r>
      <w:proofErr w:type="spellStart"/>
      <w:r w:rsidRPr="003927AF">
        <w:rPr>
          <w:i/>
        </w:rPr>
        <w:t>des</w:t>
      </w:r>
      <w:proofErr w:type="spellEnd"/>
      <w:r w:rsidRPr="003927AF">
        <w:rPr>
          <w:i/>
        </w:rPr>
        <w:t xml:space="preserve"> </w:t>
      </w:r>
      <w:proofErr w:type="spellStart"/>
      <w:r w:rsidRPr="003927AF">
        <w:rPr>
          <w:i/>
        </w:rPr>
        <w:t>Dialogs</w:t>
      </w:r>
      <w:proofErr w:type="spellEnd"/>
      <w:r w:rsidRPr="003927AF">
        <w:rPr>
          <w:i/>
        </w:rPr>
        <w:t xml:space="preserve">. </w:t>
      </w:r>
      <w:r w:rsidRPr="003927AF">
        <w:rPr>
          <w:i/>
          <w:lang w:val="en-GB"/>
        </w:rPr>
        <w:t xml:space="preserve">Das </w:t>
      </w:r>
      <w:proofErr w:type="spellStart"/>
      <w:r w:rsidRPr="003927AF">
        <w:rPr>
          <w:i/>
          <w:lang w:val="en-GB"/>
        </w:rPr>
        <w:t>dialogisches</w:t>
      </w:r>
      <w:proofErr w:type="spellEnd"/>
      <w:r w:rsidRPr="003927AF">
        <w:rPr>
          <w:i/>
          <w:lang w:val="en-GB"/>
        </w:rPr>
        <w:t xml:space="preserve"> </w:t>
      </w:r>
      <w:proofErr w:type="spellStart"/>
      <w:r w:rsidRPr="003927AF">
        <w:rPr>
          <w:i/>
          <w:lang w:val="en-GB"/>
        </w:rPr>
        <w:t>Prinzip</w:t>
      </w:r>
      <w:proofErr w:type="spellEnd"/>
      <w:r w:rsidRPr="003927AF">
        <w:rPr>
          <w:i/>
          <w:lang w:val="en-GB"/>
        </w:rPr>
        <w:t xml:space="preserve"> in </w:t>
      </w:r>
      <w:proofErr w:type="spellStart"/>
      <w:r w:rsidRPr="003927AF">
        <w:rPr>
          <w:i/>
          <w:lang w:val="en-GB"/>
        </w:rPr>
        <w:t>Gotteslehre</w:t>
      </w:r>
      <w:proofErr w:type="spellEnd"/>
      <w:r w:rsidRPr="003927AF">
        <w:rPr>
          <w:i/>
          <w:lang w:val="en-GB"/>
        </w:rPr>
        <w:t xml:space="preserve"> und </w:t>
      </w:r>
      <w:proofErr w:type="spellStart"/>
      <w:r w:rsidRPr="003927AF">
        <w:rPr>
          <w:i/>
          <w:lang w:val="en-GB"/>
        </w:rPr>
        <w:t>Heilsgeschichte</w:t>
      </w:r>
      <w:proofErr w:type="spellEnd"/>
      <w:r w:rsidRPr="003927AF">
        <w:rPr>
          <w:lang w:val="en-GB"/>
        </w:rPr>
        <w:t xml:space="preserve">, in </w:t>
      </w:r>
      <w:r w:rsidRPr="003927AF">
        <w:rPr>
          <w:smallCaps/>
          <w:lang w:val="en-GB"/>
        </w:rPr>
        <w:t xml:space="preserve">G. </w:t>
      </w:r>
      <w:proofErr w:type="spellStart"/>
      <w:r w:rsidRPr="003927AF">
        <w:rPr>
          <w:smallCaps/>
          <w:lang w:val="en-GB"/>
        </w:rPr>
        <w:t>Fürst</w:t>
      </w:r>
      <w:proofErr w:type="spellEnd"/>
      <w:r w:rsidRPr="003927AF">
        <w:rPr>
          <w:lang w:val="en-GB"/>
        </w:rPr>
        <w:t xml:space="preserve"> (</w:t>
      </w:r>
      <w:proofErr w:type="spellStart"/>
      <w:r w:rsidRPr="003927AF">
        <w:rPr>
          <w:lang w:val="en-GB"/>
        </w:rPr>
        <w:t>ed</w:t>
      </w:r>
      <w:proofErr w:type="spellEnd"/>
      <w:r w:rsidRPr="003927AF">
        <w:rPr>
          <w:lang w:val="en-GB"/>
        </w:rPr>
        <w:t xml:space="preserve">), </w:t>
      </w:r>
      <w:r w:rsidRPr="003927AF">
        <w:rPr>
          <w:i/>
          <w:lang w:val="en-GB"/>
        </w:rPr>
        <w:t xml:space="preserve">Dialog </w:t>
      </w:r>
      <w:proofErr w:type="spellStart"/>
      <w:r w:rsidRPr="003927AF">
        <w:rPr>
          <w:i/>
          <w:lang w:val="en-GB"/>
        </w:rPr>
        <w:t>als</w:t>
      </w:r>
      <w:proofErr w:type="spellEnd"/>
      <w:r w:rsidRPr="003927AF">
        <w:rPr>
          <w:i/>
          <w:lang w:val="en-GB"/>
        </w:rPr>
        <w:t xml:space="preserve"> </w:t>
      </w:r>
      <w:proofErr w:type="spellStart"/>
      <w:r w:rsidRPr="003927AF">
        <w:rPr>
          <w:i/>
          <w:lang w:val="en-GB"/>
        </w:rPr>
        <w:t>Selbstvollzug</w:t>
      </w:r>
      <w:proofErr w:type="spellEnd"/>
      <w:r w:rsidRPr="003927AF">
        <w:rPr>
          <w:i/>
          <w:lang w:val="en-GB"/>
        </w:rPr>
        <w:t xml:space="preserve"> der </w:t>
      </w:r>
      <w:proofErr w:type="spellStart"/>
      <w:r w:rsidRPr="003927AF">
        <w:rPr>
          <w:i/>
          <w:lang w:val="en-GB"/>
        </w:rPr>
        <w:t>Kirche</w:t>
      </w:r>
      <w:proofErr w:type="spellEnd"/>
      <w:r w:rsidRPr="003927AF">
        <w:rPr>
          <w:lang w:val="en-GB"/>
        </w:rPr>
        <w:t xml:space="preserve">, </w:t>
      </w:r>
      <w:r>
        <w:rPr>
          <w:lang w:val="en-GB"/>
        </w:rPr>
        <w:t xml:space="preserve">Freiburg-Basel-Wien </w:t>
      </w:r>
      <w:r w:rsidRPr="003927AF">
        <w:rPr>
          <w:lang w:val="en-GB"/>
        </w:rPr>
        <w:t>1997, 93-116.</w:t>
      </w:r>
    </w:p>
  </w:footnote>
  <w:footnote w:id="42">
    <w:p w:rsidR="006C47C5" w:rsidRDefault="006C47C5" w:rsidP="006C47C5">
      <w:pPr>
        <w:pStyle w:val="Testonotaapidipagina"/>
        <w:jc w:val="both"/>
      </w:pPr>
      <w:r>
        <w:rPr>
          <w:rStyle w:val="Rimandonotaapidipagina"/>
        </w:rPr>
        <w:footnoteRef/>
      </w:r>
      <w:r>
        <w:t xml:space="preserve"> Sull’importanza di incontrarsi in questa ricerca della verità, anche nell’ambito del riconoscimento della libertà di coscienza e religione, si veda </w:t>
      </w:r>
      <w:r w:rsidRPr="00674639">
        <w:rPr>
          <w:smallCaps/>
        </w:rPr>
        <w:t>F. D’Agostino</w:t>
      </w:r>
      <w:r>
        <w:t xml:space="preserve">, </w:t>
      </w:r>
      <w:r w:rsidRPr="00674639">
        <w:rPr>
          <w:i/>
        </w:rPr>
        <w:t>La libertà religiosa in un orizzonte post-secolare. A partire da «</w:t>
      </w:r>
      <w:proofErr w:type="spellStart"/>
      <w:r w:rsidRPr="00674639">
        <w:rPr>
          <w:i/>
        </w:rPr>
        <w:t>Dignitatis</w:t>
      </w:r>
      <w:proofErr w:type="spellEnd"/>
      <w:r w:rsidRPr="00674639">
        <w:rPr>
          <w:i/>
        </w:rPr>
        <w:t xml:space="preserve"> </w:t>
      </w:r>
      <w:proofErr w:type="spellStart"/>
      <w:r w:rsidRPr="00674639">
        <w:rPr>
          <w:i/>
        </w:rPr>
        <w:t>Humanae</w:t>
      </w:r>
      <w:proofErr w:type="spellEnd"/>
      <w:r w:rsidRPr="00674639">
        <w:rPr>
          <w:i/>
        </w:rPr>
        <w:t>»</w:t>
      </w:r>
      <w:r>
        <w:t xml:space="preserve">, in </w:t>
      </w:r>
      <w:r w:rsidRPr="00674639">
        <w:rPr>
          <w:smallCaps/>
        </w:rPr>
        <w:t>E. Fogliadini</w:t>
      </w:r>
      <w:r>
        <w:t xml:space="preserve"> (ed), </w:t>
      </w:r>
      <w:r w:rsidRPr="00674639">
        <w:rPr>
          <w:i/>
        </w:rPr>
        <w:t>Religioni, libertà, potere</w:t>
      </w:r>
      <w:r>
        <w:t>, Milano 2001499-104.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64A"/>
    <w:rsid w:val="002A18BF"/>
    <w:rsid w:val="00361B1F"/>
    <w:rsid w:val="004702AA"/>
    <w:rsid w:val="006C47C5"/>
    <w:rsid w:val="00790BA1"/>
    <w:rsid w:val="007D464A"/>
    <w:rsid w:val="0083583F"/>
    <w:rsid w:val="00835E78"/>
    <w:rsid w:val="00AA5D94"/>
    <w:rsid w:val="00C5663C"/>
    <w:rsid w:val="00DA4EC9"/>
    <w:rsid w:val="00DB1A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D464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7D464A"/>
    <w:pPr>
      <w:jc w:val="both"/>
    </w:pPr>
    <w:rPr>
      <w:sz w:val="22"/>
      <w:szCs w:val="20"/>
    </w:rPr>
  </w:style>
  <w:style w:type="character" w:customStyle="1" w:styleId="CorpotestoCarattere">
    <w:name w:val="Corpo testo Carattere"/>
    <w:basedOn w:val="Carpredefinitoparagrafo"/>
    <w:link w:val="Corpotesto"/>
    <w:rsid w:val="007D464A"/>
    <w:rPr>
      <w:rFonts w:ascii="Times New Roman" w:eastAsia="Times New Roman" w:hAnsi="Times New Roman" w:cs="Times New Roman"/>
      <w:szCs w:val="20"/>
      <w:lang w:eastAsia="it-IT"/>
    </w:rPr>
  </w:style>
  <w:style w:type="paragraph" w:styleId="Testonotaapidipagina">
    <w:name w:val="footnote text"/>
    <w:aliases w:val=" Carattere"/>
    <w:basedOn w:val="Normale"/>
    <w:link w:val="TestonotaapidipaginaCarattere"/>
    <w:semiHidden/>
    <w:rsid w:val="007D464A"/>
    <w:rPr>
      <w:sz w:val="20"/>
      <w:szCs w:val="20"/>
    </w:rPr>
  </w:style>
  <w:style w:type="character" w:customStyle="1" w:styleId="TestonotaapidipaginaCarattere">
    <w:name w:val="Testo nota a piè di pagina Carattere"/>
    <w:aliases w:val=" Carattere Carattere"/>
    <w:basedOn w:val="Carpredefinitoparagrafo"/>
    <w:link w:val="Testonotaapidipagina"/>
    <w:rsid w:val="007D464A"/>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rsid w:val="007D464A"/>
    <w:rPr>
      <w:vertAlign w:val="superscript"/>
    </w:rPr>
  </w:style>
  <w:style w:type="paragraph" w:styleId="Testonotadichiusura">
    <w:name w:val="endnote text"/>
    <w:basedOn w:val="Normale"/>
    <w:link w:val="TestonotadichiusuraCarattere"/>
    <w:semiHidden/>
    <w:rsid w:val="007D464A"/>
    <w:rPr>
      <w:sz w:val="20"/>
      <w:szCs w:val="20"/>
    </w:rPr>
  </w:style>
  <w:style w:type="character" w:customStyle="1" w:styleId="TestonotadichiusuraCarattere">
    <w:name w:val="Testo nota di chiusura Carattere"/>
    <w:basedOn w:val="Carpredefinitoparagrafo"/>
    <w:link w:val="Testonotadichiusura"/>
    <w:semiHidden/>
    <w:rsid w:val="007D464A"/>
    <w:rPr>
      <w:rFonts w:ascii="Times New Roman" w:eastAsia="Times New Roman" w:hAnsi="Times New Roman" w:cs="Times New Roman"/>
      <w:sz w:val="20"/>
      <w:szCs w:val="20"/>
      <w:lang w:eastAsia="it-IT"/>
    </w:rPr>
  </w:style>
  <w:style w:type="paragraph" w:styleId="Citazione">
    <w:name w:val="Quote"/>
    <w:basedOn w:val="Normale"/>
    <w:next w:val="Corpotesto"/>
    <w:link w:val="CitazioneCarattere"/>
    <w:qFormat/>
    <w:rsid w:val="002A18BF"/>
    <w:pPr>
      <w:tabs>
        <w:tab w:val="right" w:pos="284"/>
      </w:tabs>
      <w:spacing w:before="180" w:after="180" w:line="250" w:lineRule="exact"/>
      <w:ind w:left="284"/>
      <w:jc w:val="both"/>
    </w:pPr>
    <w:rPr>
      <w:sz w:val="25"/>
      <w:szCs w:val="25"/>
    </w:rPr>
  </w:style>
  <w:style w:type="character" w:customStyle="1" w:styleId="CitazioneCarattere">
    <w:name w:val="Citazione Carattere"/>
    <w:basedOn w:val="Carpredefinitoparagrafo"/>
    <w:link w:val="Citazione"/>
    <w:rsid w:val="002A18BF"/>
    <w:rPr>
      <w:rFonts w:ascii="Times New Roman" w:eastAsia="Times New Roman" w:hAnsi="Times New Roman" w:cs="Times New Roman"/>
      <w:sz w:val="25"/>
      <w:szCs w:val="25"/>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D464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7D464A"/>
    <w:pPr>
      <w:jc w:val="both"/>
    </w:pPr>
    <w:rPr>
      <w:sz w:val="22"/>
      <w:szCs w:val="20"/>
    </w:rPr>
  </w:style>
  <w:style w:type="character" w:customStyle="1" w:styleId="CorpotestoCarattere">
    <w:name w:val="Corpo testo Carattere"/>
    <w:basedOn w:val="Carpredefinitoparagrafo"/>
    <w:link w:val="Corpotesto"/>
    <w:rsid w:val="007D464A"/>
    <w:rPr>
      <w:rFonts w:ascii="Times New Roman" w:eastAsia="Times New Roman" w:hAnsi="Times New Roman" w:cs="Times New Roman"/>
      <w:szCs w:val="20"/>
      <w:lang w:eastAsia="it-IT"/>
    </w:rPr>
  </w:style>
  <w:style w:type="paragraph" w:styleId="Testonotaapidipagina">
    <w:name w:val="footnote text"/>
    <w:aliases w:val=" Carattere"/>
    <w:basedOn w:val="Normale"/>
    <w:link w:val="TestonotaapidipaginaCarattere"/>
    <w:semiHidden/>
    <w:rsid w:val="007D464A"/>
    <w:rPr>
      <w:sz w:val="20"/>
      <w:szCs w:val="20"/>
    </w:rPr>
  </w:style>
  <w:style w:type="character" w:customStyle="1" w:styleId="TestonotaapidipaginaCarattere">
    <w:name w:val="Testo nota a piè di pagina Carattere"/>
    <w:aliases w:val=" Carattere Carattere"/>
    <w:basedOn w:val="Carpredefinitoparagrafo"/>
    <w:link w:val="Testonotaapidipagina"/>
    <w:rsid w:val="007D464A"/>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rsid w:val="007D464A"/>
    <w:rPr>
      <w:vertAlign w:val="superscript"/>
    </w:rPr>
  </w:style>
  <w:style w:type="paragraph" w:styleId="Testonotadichiusura">
    <w:name w:val="endnote text"/>
    <w:basedOn w:val="Normale"/>
    <w:link w:val="TestonotadichiusuraCarattere"/>
    <w:semiHidden/>
    <w:rsid w:val="007D464A"/>
    <w:rPr>
      <w:sz w:val="20"/>
      <w:szCs w:val="20"/>
    </w:rPr>
  </w:style>
  <w:style w:type="character" w:customStyle="1" w:styleId="TestonotadichiusuraCarattere">
    <w:name w:val="Testo nota di chiusura Carattere"/>
    <w:basedOn w:val="Carpredefinitoparagrafo"/>
    <w:link w:val="Testonotadichiusura"/>
    <w:semiHidden/>
    <w:rsid w:val="007D464A"/>
    <w:rPr>
      <w:rFonts w:ascii="Times New Roman" w:eastAsia="Times New Roman" w:hAnsi="Times New Roman" w:cs="Times New Roman"/>
      <w:sz w:val="20"/>
      <w:szCs w:val="20"/>
      <w:lang w:eastAsia="it-IT"/>
    </w:rPr>
  </w:style>
  <w:style w:type="paragraph" w:styleId="Citazione">
    <w:name w:val="Quote"/>
    <w:basedOn w:val="Normale"/>
    <w:next w:val="Corpotesto"/>
    <w:link w:val="CitazioneCarattere"/>
    <w:qFormat/>
    <w:rsid w:val="002A18BF"/>
    <w:pPr>
      <w:tabs>
        <w:tab w:val="right" w:pos="284"/>
      </w:tabs>
      <w:spacing w:before="180" w:after="180" w:line="250" w:lineRule="exact"/>
      <w:ind w:left="284"/>
      <w:jc w:val="both"/>
    </w:pPr>
    <w:rPr>
      <w:sz w:val="25"/>
      <w:szCs w:val="25"/>
    </w:rPr>
  </w:style>
  <w:style w:type="character" w:customStyle="1" w:styleId="CitazioneCarattere">
    <w:name w:val="Citazione Carattere"/>
    <w:basedOn w:val="Carpredefinitoparagrafo"/>
    <w:link w:val="Citazione"/>
    <w:rsid w:val="002A18BF"/>
    <w:rPr>
      <w:rFonts w:ascii="Times New Roman" w:eastAsia="Times New Roman" w:hAnsi="Times New Roman" w:cs="Times New Roman"/>
      <w:sz w:val="25"/>
      <w:szCs w:val="25"/>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17</Pages>
  <Words>10206</Words>
  <Characters>58175</Characters>
  <Application>Microsoft Office Word</Application>
  <DocSecurity>0</DocSecurity>
  <Lines>484</Lines>
  <Paragraphs>136</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68245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cp:lastModifiedBy>
  <cp:revision>8</cp:revision>
  <dcterms:created xsi:type="dcterms:W3CDTF">2024-05-06T08:15:00Z</dcterms:created>
  <dcterms:modified xsi:type="dcterms:W3CDTF">2024-05-07T15:20:00Z</dcterms:modified>
</cp:coreProperties>
</file>