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E98" w:rsidRPr="00BB1B57" w:rsidRDefault="00E35E98" w:rsidP="00E35E98">
      <w:pPr>
        <w:jc w:val="center"/>
        <w:rPr>
          <w:smallCaps/>
        </w:rPr>
      </w:pPr>
      <w:r>
        <w:rPr>
          <w:smallCaps/>
        </w:rPr>
        <w:t>I tre modelli di Teologia delle Religioni</w:t>
      </w:r>
    </w:p>
    <w:p w:rsidR="00E35E98" w:rsidRDefault="00E35E98" w:rsidP="00E35E98">
      <w:pPr>
        <w:jc w:val="both"/>
      </w:pPr>
    </w:p>
    <w:p w:rsidR="00E35E98" w:rsidRDefault="00E35E98" w:rsidP="00E35E98">
      <w:pPr>
        <w:jc w:val="both"/>
      </w:pPr>
    </w:p>
    <w:p w:rsidR="00E35E98" w:rsidRDefault="00E35E98" w:rsidP="00E35E98">
      <w:pPr>
        <w:jc w:val="both"/>
      </w:pPr>
      <w:r>
        <w:t>1. Al mutamento della domanda corrisponde un mutamento di «paradigma», ossia di quei principi di intelligibilità, di quelle chiavi di interpretazione complessiva del reale che si succedono nel tempo, eliminandosi a vicenda (come la visione del mondo copernicana ha soppiantato quella tolemaica). Quando un paradigma risulta inadeguato a spiegare la realtà occorre cercarne un altro e abba</w:t>
      </w:r>
      <w:r w:rsidR="00EE5170">
        <w:t>n</w:t>
      </w:r>
      <w:r>
        <w:t xml:space="preserve">donare il precedente. I modelli invece hanno carattere descrittivo: richiamano l’attenzione su aspetti di una determinata realtà, senza pretendere di definirla in maniera adeguata o distintiva. Non sono quindi alternativi, bensì complementari. Chiaro e istruttivo su questo è ancora il documento della </w:t>
      </w:r>
      <w:r w:rsidRPr="00BB1B57">
        <w:rPr>
          <w:i/>
        </w:rPr>
        <w:t>Commissione Teologica Internazionale</w:t>
      </w:r>
      <w:r>
        <w:t>, che propone di raccogliere una certa classificazione dei paradigmi teologici in gioco:</w:t>
      </w:r>
    </w:p>
    <w:p w:rsidR="00E35E98" w:rsidRDefault="00E35E98" w:rsidP="00E35E98">
      <w:pPr>
        <w:ind w:left="284"/>
        <w:jc w:val="both"/>
        <w:rPr>
          <w:sz w:val="22"/>
        </w:rPr>
      </w:pPr>
    </w:p>
    <w:p w:rsidR="00E35E98" w:rsidRDefault="00E35E98" w:rsidP="00E35E98">
      <w:pPr>
        <w:ind w:left="284"/>
        <w:jc w:val="both"/>
        <w:rPr>
          <w:sz w:val="22"/>
        </w:rPr>
      </w:pPr>
      <w:r>
        <w:rPr>
          <w:sz w:val="22"/>
        </w:rPr>
        <w:t xml:space="preserve">9. Si è tentato di classificare in vari modi le diverse posizioni teologiche di fronte a questo problema. Vediamo alcune di tali classificazioni: Cristo contro le religioni, nelle religioni, sopra le religioni, con le religioni (universo </w:t>
      </w:r>
      <w:proofErr w:type="spellStart"/>
      <w:r>
        <w:rPr>
          <w:sz w:val="22"/>
        </w:rPr>
        <w:t>ecclesiocentrico</w:t>
      </w:r>
      <w:proofErr w:type="spellEnd"/>
      <w:r>
        <w:rPr>
          <w:sz w:val="22"/>
        </w:rPr>
        <w:t xml:space="preserve"> o cristologia esclusiva; universo cristocentrico o cristologia inclusiva; universo teocentrico con cristologia normativa; universo teocentrico con cristologia non normativa). Alcuni teologi adottano la divisione tripartita – esclusivismo, </w:t>
      </w:r>
      <w:proofErr w:type="spellStart"/>
      <w:r>
        <w:rPr>
          <w:sz w:val="22"/>
        </w:rPr>
        <w:t>inclusivismo</w:t>
      </w:r>
      <w:proofErr w:type="spellEnd"/>
      <w:r>
        <w:rPr>
          <w:sz w:val="22"/>
        </w:rPr>
        <w:t xml:space="preserve">, pluralismo – che si presenta come parallela all’altra: </w:t>
      </w:r>
      <w:proofErr w:type="spellStart"/>
      <w:r>
        <w:rPr>
          <w:sz w:val="22"/>
        </w:rPr>
        <w:t>ecclesiocentrismo</w:t>
      </w:r>
      <w:proofErr w:type="spellEnd"/>
      <w:r>
        <w:rPr>
          <w:sz w:val="22"/>
        </w:rPr>
        <w:t>, cristocentrismo, teocentrismo. Dovendo scegliere una di queste classificazioni per condurre la nostra riflessione, seguiremo quest’ultima, pur completandola con le altre, se sarà necessario.</w:t>
      </w:r>
    </w:p>
    <w:p w:rsidR="00E35E98" w:rsidRDefault="00E35E98" w:rsidP="00E35E98">
      <w:pPr>
        <w:ind w:left="284"/>
        <w:jc w:val="both"/>
        <w:rPr>
          <w:sz w:val="22"/>
        </w:rPr>
      </w:pPr>
      <w:r>
        <w:rPr>
          <w:sz w:val="22"/>
        </w:rPr>
        <w:t>10. L’</w:t>
      </w:r>
      <w:proofErr w:type="spellStart"/>
      <w:r>
        <w:rPr>
          <w:i/>
          <w:iCs/>
          <w:sz w:val="22"/>
        </w:rPr>
        <w:t>ecclesiocentrismo</w:t>
      </w:r>
      <w:proofErr w:type="spellEnd"/>
      <w:r>
        <w:rPr>
          <w:sz w:val="22"/>
        </w:rPr>
        <w:t xml:space="preserve"> esclusivista, frutto di un determinato sistema teologico o di un’errata comprensione della frase </w:t>
      </w:r>
      <w:r>
        <w:rPr>
          <w:i/>
          <w:iCs/>
          <w:sz w:val="22"/>
        </w:rPr>
        <w:t xml:space="preserve">extra </w:t>
      </w:r>
      <w:proofErr w:type="spellStart"/>
      <w:r>
        <w:rPr>
          <w:i/>
          <w:iCs/>
          <w:sz w:val="22"/>
        </w:rPr>
        <w:t>ecclesiam</w:t>
      </w:r>
      <w:proofErr w:type="spellEnd"/>
      <w:r>
        <w:rPr>
          <w:i/>
          <w:iCs/>
          <w:sz w:val="22"/>
        </w:rPr>
        <w:t xml:space="preserve"> nulla </w:t>
      </w:r>
      <w:proofErr w:type="spellStart"/>
      <w:r>
        <w:rPr>
          <w:i/>
          <w:iCs/>
          <w:sz w:val="22"/>
        </w:rPr>
        <w:t>salus</w:t>
      </w:r>
      <w:proofErr w:type="spellEnd"/>
      <w:r>
        <w:rPr>
          <w:sz w:val="22"/>
        </w:rPr>
        <w:t>, non è più difeso dai teologi cattolici, dopo le chiare affermazioni di Pio XII e del concilio Vaticano II sulla possibilità di salvezza per quelli che non appartengono visibilmente alla Chiesa (</w:t>
      </w:r>
      <w:proofErr w:type="spellStart"/>
      <w:r>
        <w:rPr>
          <w:sz w:val="22"/>
        </w:rPr>
        <w:t>cf</w:t>
      </w:r>
      <w:proofErr w:type="spellEnd"/>
      <w:r>
        <w:rPr>
          <w:sz w:val="22"/>
        </w:rPr>
        <w:t xml:space="preserve">. per esempio </w:t>
      </w:r>
      <w:r>
        <w:rPr>
          <w:i/>
          <w:iCs/>
          <w:sz w:val="22"/>
        </w:rPr>
        <w:t xml:space="preserve">Lumen </w:t>
      </w:r>
      <w:proofErr w:type="spellStart"/>
      <w:r>
        <w:rPr>
          <w:i/>
          <w:iCs/>
          <w:sz w:val="22"/>
        </w:rPr>
        <w:t>Gentium</w:t>
      </w:r>
      <w:proofErr w:type="spellEnd"/>
      <w:r>
        <w:rPr>
          <w:sz w:val="22"/>
        </w:rPr>
        <w:t xml:space="preserve"> n. 16; </w:t>
      </w:r>
      <w:proofErr w:type="spellStart"/>
      <w:r>
        <w:rPr>
          <w:i/>
          <w:iCs/>
          <w:sz w:val="22"/>
        </w:rPr>
        <w:t>Gaudium</w:t>
      </w:r>
      <w:proofErr w:type="spellEnd"/>
      <w:r>
        <w:rPr>
          <w:i/>
          <w:iCs/>
          <w:sz w:val="22"/>
        </w:rPr>
        <w:t xml:space="preserve"> et </w:t>
      </w:r>
      <w:proofErr w:type="spellStart"/>
      <w:r>
        <w:rPr>
          <w:i/>
          <w:iCs/>
          <w:sz w:val="22"/>
        </w:rPr>
        <w:t>Spes</w:t>
      </w:r>
      <w:proofErr w:type="spellEnd"/>
      <w:r>
        <w:rPr>
          <w:sz w:val="22"/>
        </w:rPr>
        <w:t xml:space="preserve"> n. 22). </w:t>
      </w:r>
    </w:p>
    <w:p w:rsidR="00E35E98" w:rsidRDefault="00E35E98" w:rsidP="00E35E98">
      <w:pPr>
        <w:ind w:left="284"/>
        <w:jc w:val="both"/>
        <w:rPr>
          <w:sz w:val="22"/>
        </w:rPr>
      </w:pPr>
      <w:r>
        <w:rPr>
          <w:sz w:val="22"/>
        </w:rPr>
        <w:t xml:space="preserve">11. Il </w:t>
      </w:r>
      <w:r>
        <w:rPr>
          <w:i/>
          <w:iCs/>
          <w:sz w:val="22"/>
        </w:rPr>
        <w:t>cristocentrismo</w:t>
      </w:r>
      <w:r>
        <w:rPr>
          <w:sz w:val="22"/>
        </w:rPr>
        <w:t xml:space="preserve"> accetta che nelle religioni possa esserci la salvezza, ma nega loro un’autonomia salvifica, a motivo dell’unicità e universalità della salvezza di Gesù Cristo. Questa posizione è senza dubbio la più comune tra i teologi cattolici, pur essendoci differenze tra loro. Essa cerca di conciliare la volontà salvifica universale di Dio con il fatto che ogni uomo si realizza come tale all’interno di una tradizione culturale, che ha nella propria religione la più alta espressione e l’ultimo fondamento. </w:t>
      </w:r>
    </w:p>
    <w:p w:rsidR="00E35E98" w:rsidRDefault="00E35E98" w:rsidP="00E35E98">
      <w:pPr>
        <w:ind w:left="284"/>
        <w:jc w:val="both"/>
        <w:rPr>
          <w:sz w:val="22"/>
        </w:rPr>
      </w:pPr>
      <w:r>
        <w:rPr>
          <w:sz w:val="22"/>
        </w:rPr>
        <w:t xml:space="preserve">12. Il </w:t>
      </w:r>
      <w:r>
        <w:rPr>
          <w:i/>
          <w:iCs/>
          <w:sz w:val="22"/>
        </w:rPr>
        <w:t>teocentrismo</w:t>
      </w:r>
      <w:r>
        <w:rPr>
          <w:sz w:val="22"/>
        </w:rPr>
        <w:t xml:space="preserve"> vuole essere un superamento del cristocentrismo, un cambiamento di prospettiva, una rivoluzione copernicana. Questa posizione deriva, tra gli altri motivi, da una certa cattiva coscienza dovuta all’unione dell’azione missionaria del passato con la politica coloniale, talvolta anche dimenticando l’eroismo che accompagnò l’azione evangelizzatrice. Esso vuole riconoscere le ricchezze delle religioni e la testimonianza morale dei loro seguaci e, in ultima istanza, intende facilitare l’unione di tutte le religioni in vista di un’azione comune per la pace e la giustizia nel mondo. Possiamo distinguere un teocentrismo nel quale Gesù Cristo, senza essere costitutivo, è considerato normativo della salvezza e un altro nel quale non si riconosce a Gesù Cristo neppure questo valore normativo. Nel primo caso, senza negare che anche altri possano mediare la salvezza, si riconosce in Gesù Cristo il mediatore che meglio la esprime; l’amore di Dio si rivela più chiaramente nella sua persona e nella sua opera, ed è così il paradigma per gli altri mediatori. Tuttavia senza di lui non si rimarrebbe senza salvezza, ma soltanto senza la sua manifestazione più perfetta. Nel secondo caso, Gesù Cristo non è considerato né come costitutivo né come normativo per la salvezza dell’uomo. Dio è trascendente e incomprensibile, quindi non possiamo giudicare i suoi disegni con le nostre categorie umane; come, del resto, non possiamo valutare o mettere a confronto i diversi sistemi religiosi. Il </w:t>
      </w:r>
      <w:proofErr w:type="spellStart"/>
      <w:r>
        <w:rPr>
          <w:i/>
          <w:iCs/>
          <w:sz w:val="22"/>
        </w:rPr>
        <w:t>soteriocentrismo</w:t>
      </w:r>
      <w:proofErr w:type="spellEnd"/>
      <w:r>
        <w:rPr>
          <w:sz w:val="22"/>
        </w:rPr>
        <w:t xml:space="preserve"> radicalizza ancor più la posizione teocentrica, essendo meno interessato alla questione su Gesù Cristo (ortodossia) e più all’impegno effettivo di ogni religione nei confronti dell’umanità che soffre (</w:t>
      </w:r>
      <w:proofErr w:type="spellStart"/>
      <w:r>
        <w:rPr>
          <w:sz w:val="22"/>
        </w:rPr>
        <w:t>ortoprassi</w:t>
      </w:r>
      <w:proofErr w:type="spellEnd"/>
      <w:r>
        <w:rPr>
          <w:sz w:val="22"/>
        </w:rPr>
        <w:t>). In tale prospettiva il valore delle religioni sta nel promuovere il Regno, la salvezza, il benessere dell’umanità: questa posizione può così essere caratterizzata come pragmatica e immanentistica».</w:t>
      </w:r>
    </w:p>
    <w:p w:rsidR="00E35E98" w:rsidRDefault="00E35E98" w:rsidP="00E35E98">
      <w:pPr>
        <w:ind w:left="284"/>
        <w:jc w:val="both"/>
        <w:rPr>
          <w:sz w:val="22"/>
        </w:rPr>
      </w:pPr>
    </w:p>
    <w:p w:rsidR="00E35E98" w:rsidRDefault="00E35E98" w:rsidP="00E35E98">
      <w:pPr>
        <w:jc w:val="both"/>
      </w:pPr>
      <w:r>
        <w:t>2. Per meglio comprendere il nesso tra un certo paradigma e il rapporto di Cristo con le altre religioni, ma anche il funzionamento di altre dimensioni della fede,  possiamo disporre i diversi elementi nella seguente tabella:</w:t>
      </w:r>
    </w:p>
    <w:p w:rsidR="00E35E98" w:rsidRDefault="00E35E98" w:rsidP="00E35E98">
      <w:pPr>
        <w:jc w:val="both"/>
      </w:pPr>
    </w:p>
    <w:p w:rsidR="00E35E98" w:rsidRDefault="00E35E98" w:rsidP="00E35E98">
      <w:pPr>
        <w:jc w:val="both"/>
      </w:pPr>
    </w:p>
    <w:tbl>
      <w:tblPr>
        <w:tblStyle w:val="Grigliatabella"/>
        <w:tblW w:w="0" w:type="auto"/>
        <w:tblLook w:val="01E0" w:firstRow="1" w:lastRow="1" w:firstColumn="1" w:lastColumn="1" w:noHBand="0" w:noVBand="0"/>
      </w:tblPr>
      <w:tblGrid>
        <w:gridCol w:w="1629"/>
        <w:gridCol w:w="1629"/>
        <w:gridCol w:w="1630"/>
        <w:gridCol w:w="1630"/>
        <w:gridCol w:w="1630"/>
        <w:gridCol w:w="1630"/>
      </w:tblGrid>
      <w:tr w:rsidR="00E35E98" w:rsidTr="00955297">
        <w:tc>
          <w:tcPr>
            <w:tcW w:w="1629" w:type="dxa"/>
          </w:tcPr>
          <w:p w:rsidR="00E35E98" w:rsidRPr="007B30CC" w:rsidRDefault="00E35E98" w:rsidP="00955297">
            <w:pPr>
              <w:jc w:val="both"/>
              <w:rPr>
                <w:i/>
                <w:sz w:val="20"/>
                <w:szCs w:val="20"/>
              </w:rPr>
            </w:pPr>
            <w:r w:rsidRPr="007B30CC">
              <w:rPr>
                <w:i/>
                <w:sz w:val="20"/>
                <w:szCs w:val="20"/>
              </w:rPr>
              <w:t>Logica</w:t>
            </w:r>
          </w:p>
        </w:tc>
        <w:tc>
          <w:tcPr>
            <w:tcW w:w="1629" w:type="dxa"/>
          </w:tcPr>
          <w:p w:rsidR="00E35E98" w:rsidRPr="007B30CC" w:rsidRDefault="00E35E98" w:rsidP="00955297">
            <w:pPr>
              <w:jc w:val="both"/>
              <w:rPr>
                <w:i/>
                <w:sz w:val="20"/>
                <w:szCs w:val="20"/>
              </w:rPr>
            </w:pPr>
            <w:r w:rsidRPr="007B30CC">
              <w:rPr>
                <w:i/>
                <w:sz w:val="20"/>
                <w:szCs w:val="20"/>
              </w:rPr>
              <w:t>Universo</w:t>
            </w:r>
          </w:p>
        </w:tc>
        <w:tc>
          <w:tcPr>
            <w:tcW w:w="1630" w:type="dxa"/>
          </w:tcPr>
          <w:p w:rsidR="00E35E98" w:rsidRPr="007B30CC" w:rsidRDefault="00E35E98" w:rsidP="00955297">
            <w:pPr>
              <w:jc w:val="both"/>
              <w:rPr>
                <w:i/>
                <w:sz w:val="20"/>
                <w:szCs w:val="20"/>
              </w:rPr>
            </w:pPr>
            <w:r>
              <w:rPr>
                <w:i/>
                <w:sz w:val="20"/>
                <w:szCs w:val="20"/>
              </w:rPr>
              <w:t xml:space="preserve">Posizione di </w:t>
            </w:r>
            <w:r w:rsidRPr="007B30CC">
              <w:rPr>
                <w:i/>
                <w:sz w:val="20"/>
                <w:szCs w:val="20"/>
              </w:rPr>
              <w:t>Cristo</w:t>
            </w:r>
          </w:p>
        </w:tc>
        <w:tc>
          <w:tcPr>
            <w:tcW w:w="1630" w:type="dxa"/>
          </w:tcPr>
          <w:p w:rsidR="00E35E98" w:rsidRPr="007B30CC" w:rsidRDefault="00E35E98" w:rsidP="00955297">
            <w:pPr>
              <w:jc w:val="both"/>
              <w:rPr>
                <w:i/>
                <w:sz w:val="20"/>
                <w:szCs w:val="20"/>
              </w:rPr>
            </w:pPr>
            <w:r>
              <w:rPr>
                <w:i/>
                <w:sz w:val="20"/>
                <w:szCs w:val="20"/>
              </w:rPr>
              <w:t xml:space="preserve">L’azione dello </w:t>
            </w:r>
            <w:r w:rsidRPr="007B30CC">
              <w:rPr>
                <w:i/>
                <w:sz w:val="20"/>
                <w:szCs w:val="20"/>
              </w:rPr>
              <w:t>Spirito</w:t>
            </w:r>
          </w:p>
        </w:tc>
        <w:tc>
          <w:tcPr>
            <w:tcW w:w="1630" w:type="dxa"/>
          </w:tcPr>
          <w:p w:rsidR="00E35E98" w:rsidRPr="007B30CC" w:rsidRDefault="00E35E98" w:rsidP="00955297">
            <w:pPr>
              <w:jc w:val="both"/>
              <w:rPr>
                <w:i/>
                <w:sz w:val="20"/>
                <w:szCs w:val="20"/>
              </w:rPr>
            </w:pPr>
            <w:r>
              <w:rPr>
                <w:i/>
                <w:sz w:val="20"/>
                <w:szCs w:val="20"/>
              </w:rPr>
              <w:t xml:space="preserve">Il senso della </w:t>
            </w:r>
            <w:r w:rsidRPr="007B30CC">
              <w:rPr>
                <w:i/>
                <w:sz w:val="20"/>
                <w:szCs w:val="20"/>
              </w:rPr>
              <w:t>Storia</w:t>
            </w:r>
          </w:p>
        </w:tc>
        <w:tc>
          <w:tcPr>
            <w:tcW w:w="1630" w:type="dxa"/>
          </w:tcPr>
          <w:p w:rsidR="00E35E98" w:rsidRPr="007B30CC" w:rsidRDefault="00E35E98" w:rsidP="00955297">
            <w:pPr>
              <w:jc w:val="both"/>
              <w:rPr>
                <w:i/>
                <w:sz w:val="20"/>
                <w:szCs w:val="20"/>
              </w:rPr>
            </w:pPr>
            <w:r>
              <w:rPr>
                <w:i/>
                <w:sz w:val="20"/>
                <w:szCs w:val="20"/>
              </w:rPr>
              <w:t xml:space="preserve">La </w:t>
            </w:r>
            <w:r w:rsidRPr="007B30CC">
              <w:rPr>
                <w:i/>
                <w:sz w:val="20"/>
                <w:szCs w:val="20"/>
              </w:rPr>
              <w:t>Verità</w:t>
            </w:r>
          </w:p>
        </w:tc>
      </w:tr>
      <w:tr w:rsidR="00E35E98" w:rsidTr="00955297">
        <w:tc>
          <w:tcPr>
            <w:tcW w:w="1629" w:type="dxa"/>
          </w:tcPr>
          <w:p w:rsidR="00E35E98" w:rsidRPr="00243E30" w:rsidRDefault="00E35E98" w:rsidP="00955297">
            <w:pPr>
              <w:jc w:val="both"/>
              <w:rPr>
                <w:sz w:val="20"/>
                <w:szCs w:val="20"/>
              </w:rPr>
            </w:pPr>
            <w:r w:rsidRPr="00243E30">
              <w:rPr>
                <w:sz w:val="20"/>
                <w:szCs w:val="20"/>
              </w:rPr>
              <w:t>Esclusivista</w:t>
            </w:r>
          </w:p>
        </w:tc>
        <w:tc>
          <w:tcPr>
            <w:tcW w:w="1629" w:type="dxa"/>
          </w:tcPr>
          <w:p w:rsidR="00E35E98" w:rsidRPr="00243E30" w:rsidRDefault="00E35E98" w:rsidP="00955297">
            <w:pPr>
              <w:jc w:val="both"/>
              <w:rPr>
                <w:sz w:val="20"/>
                <w:szCs w:val="20"/>
              </w:rPr>
            </w:pPr>
            <w:proofErr w:type="spellStart"/>
            <w:r w:rsidRPr="00243E30">
              <w:rPr>
                <w:sz w:val="20"/>
                <w:szCs w:val="20"/>
              </w:rPr>
              <w:t>Ecclesiocentrico</w:t>
            </w:r>
            <w:proofErr w:type="spellEnd"/>
          </w:p>
        </w:tc>
        <w:tc>
          <w:tcPr>
            <w:tcW w:w="1630" w:type="dxa"/>
          </w:tcPr>
          <w:p w:rsidR="00E35E98" w:rsidRPr="00243E30" w:rsidRDefault="00E35E98" w:rsidP="00955297">
            <w:pPr>
              <w:jc w:val="both"/>
              <w:rPr>
                <w:sz w:val="20"/>
                <w:szCs w:val="20"/>
              </w:rPr>
            </w:pPr>
            <w:r w:rsidRPr="00243E30">
              <w:rPr>
                <w:sz w:val="20"/>
                <w:szCs w:val="20"/>
              </w:rPr>
              <w:t>Contro le religioni</w:t>
            </w:r>
          </w:p>
        </w:tc>
        <w:tc>
          <w:tcPr>
            <w:tcW w:w="1630" w:type="dxa"/>
          </w:tcPr>
          <w:p w:rsidR="00E35E98" w:rsidRPr="00243E30" w:rsidRDefault="00E35E98" w:rsidP="00955297">
            <w:pPr>
              <w:jc w:val="both"/>
              <w:rPr>
                <w:sz w:val="20"/>
                <w:szCs w:val="20"/>
              </w:rPr>
            </w:pPr>
            <w:r w:rsidRPr="00243E30">
              <w:rPr>
                <w:sz w:val="20"/>
                <w:szCs w:val="20"/>
              </w:rPr>
              <w:t>Agisce nella Chiesa e lega ad essa per grazia</w:t>
            </w:r>
          </w:p>
        </w:tc>
        <w:tc>
          <w:tcPr>
            <w:tcW w:w="1630" w:type="dxa"/>
          </w:tcPr>
          <w:p w:rsidR="00E35E98" w:rsidRPr="00243E30" w:rsidRDefault="00E35E98" w:rsidP="00955297">
            <w:pPr>
              <w:jc w:val="both"/>
              <w:rPr>
                <w:sz w:val="20"/>
                <w:szCs w:val="20"/>
              </w:rPr>
            </w:pPr>
            <w:r w:rsidRPr="00243E30">
              <w:rPr>
                <w:sz w:val="20"/>
                <w:szCs w:val="20"/>
              </w:rPr>
              <w:t xml:space="preserve">Unica e centrata su una grandezza </w:t>
            </w:r>
            <w:proofErr w:type="spellStart"/>
            <w:r w:rsidRPr="00243E30">
              <w:rPr>
                <w:sz w:val="20"/>
                <w:szCs w:val="20"/>
              </w:rPr>
              <w:t>intrastorica</w:t>
            </w:r>
            <w:proofErr w:type="spellEnd"/>
          </w:p>
        </w:tc>
        <w:tc>
          <w:tcPr>
            <w:tcW w:w="1630" w:type="dxa"/>
          </w:tcPr>
          <w:p w:rsidR="00E35E98" w:rsidRPr="00243E30" w:rsidRDefault="00E35E98" w:rsidP="00955297">
            <w:pPr>
              <w:jc w:val="both"/>
              <w:rPr>
                <w:sz w:val="20"/>
                <w:szCs w:val="20"/>
              </w:rPr>
            </w:pPr>
            <w:r w:rsidRPr="00243E30">
              <w:rPr>
                <w:sz w:val="20"/>
                <w:szCs w:val="20"/>
              </w:rPr>
              <w:t>Unica nella forma storica (Chiesa)</w:t>
            </w:r>
          </w:p>
        </w:tc>
      </w:tr>
      <w:tr w:rsidR="00E35E98" w:rsidTr="00955297">
        <w:tc>
          <w:tcPr>
            <w:tcW w:w="1629" w:type="dxa"/>
          </w:tcPr>
          <w:p w:rsidR="00E35E98" w:rsidRPr="00243E30" w:rsidRDefault="00E35E98" w:rsidP="00955297">
            <w:pPr>
              <w:jc w:val="both"/>
              <w:rPr>
                <w:sz w:val="20"/>
                <w:szCs w:val="20"/>
              </w:rPr>
            </w:pPr>
            <w:proofErr w:type="spellStart"/>
            <w:r w:rsidRPr="00243E30">
              <w:rPr>
                <w:sz w:val="20"/>
                <w:szCs w:val="20"/>
              </w:rPr>
              <w:t>Inclusivista</w:t>
            </w:r>
            <w:proofErr w:type="spellEnd"/>
          </w:p>
        </w:tc>
        <w:tc>
          <w:tcPr>
            <w:tcW w:w="1629" w:type="dxa"/>
          </w:tcPr>
          <w:p w:rsidR="00E35E98" w:rsidRPr="00243E30" w:rsidRDefault="00E35E98" w:rsidP="00955297">
            <w:pPr>
              <w:jc w:val="both"/>
              <w:rPr>
                <w:sz w:val="20"/>
                <w:szCs w:val="20"/>
              </w:rPr>
            </w:pPr>
            <w:r w:rsidRPr="00243E30">
              <w:rPr>
                <w:sz w:val="20"/>
                <w:szCs w:val="20"/>
              </w:rPr>
              <w:t>Cristocentrico</w:t>
            </w:r>
          </w:p>
        </w:tc>
        <w:tc>
          <w:tcPr>
            <w:tcW w:w="1630" w:type="dxa"/>
          </w:tcPr>
          <w:p w:rsidR="00E35E98" w:rsidRPr="00243E30" w:rsidRDefault="00E35E98" w:rsidP="00955297">
            <w:pPr>
              <w:jc w:val="both"/>
              <w:rPr>
                <w:sz w:val="20"/>
                <w:szCs w:val="20"/>
              </w:rPr>
            </w:pPr>
            <w:r>
              <w:rPr>
                <w:sz w:val="20"/>
                <w:szCs w:val="20"/>
              </w:rPr>
              <w:t>Cristo n</w:t>
            </w:r>
            <w:r w:rsidRPr="00243E30">
              <w:rPr>
                <w:sz w:val="20"/>
                <w:szCs w:val="20"/>
              </w:rPr>
              <w:t>elle religioni</w:t>
            </w:r>
          </w:p>
        </w:tc>
        <w:tc>
          <w:tcPr>
            <w:tcW w:w="1630" w:type="dxa"/>
          </w:tcPr>
          <w:p w:rsidR="00E35E98" w:rsidRPr="00243E30" w:rsidRDefault="00E35E98" w:rsidP="00955297">
            <w:pPr>
              <w:jc w:val="both"/>
              <w:rPr>
                <w:sz w:val="20"/>
                <w:szCs w:val="20"/>
              </w:rPr>
            </w:pPr>
            <w:r w:rsidRPr="00243E30">
              <w:rPr>
                <w:sz w:val="20"/>
                <w:szCs w:val="20"/>
              </w:rPr>
              <w:t>Dono universale di Cristo al di là dei confini della Chiesa: mette in contatto con Cristo</w:t>
            </w:r>
          </w:p>
        </w:tc>
        <w:tc>
          <w:tcPr>
            <w:tcW w:w="1630" w:type="dxa"/>
          </w:tcPr>
          <w:p w:rsidR="00E35E98" w:rsidRPr="00243E30" w:rsidRDefault="00E35E98" w:rsidP="00955297">
            <w:pPr>
              <w:jc w:val="both"/>
              <w:rPr>
                <w:sz w:val="20"/>
                <w:szCs w:val="20"/>
              </w:rPr>
            </w:pPr>
            <w:r w:rsidRPr="00243E30">
              <w:rPr>
                <w:sz w:val="20"/>
                <w:szCs w:val="20"/>
              </w:rPr>
              <w:t>Unica nel suo compimento cristologico (storico ed escatologico)</w:t>
            </w:r>
          </w:p>
        </w:tc>
        <w:tc>
          <w:tcPr>
            <w:tcW w:w="1630" w:type="dxa"/>
          </w:tcPr>
          <w:p w:rsidR="00E35E98" w:rsidRPr="00243E30" w:rsidRDefault="00E35E98" w:rsidP="00955297">
            <w:pPr>
              <w:jc w:val="both"/>
              <w:rPr>
                <w:sz w:val="20"/>
                <w:szCs w:val="20"/>
              </w:rPr>
            </w:pPr>
            <w:r w:rsidRPr="00243E30">
              <w:rPr>
                <w:sz w:val="20"/>
                <w:szCs w:val="20"/>
              </w:rPr>
              <w:t>Unica/storico-salvifica in Cristo</w:t>
            </w:r>
          </w:p>
        </w:tc>
      </w:tr>
      <w:tr w:rsidR="00E35E98" w:rsidTr="00955297">
        <w:tc>
          <w:tcPr>
            <w:tcW w:w="1629" w:type="dxa"/>
          </w:tcPr>
          <w:p w:rsidR="00E35E98" w:rsidRPr="00243E30" w:rsidRDefault="00E35E98" w:rsidP="00955297">
            <w:pPr>
              <w:jc w:val="both"/>
              <w:rPr>
                <w:sz w:val="20"/>
                <w:szCs w:val="20"/>
              </w:rPr>
            </w:pPr>
            <w:r w:rsidRPr="00243E30">
              <w:rPr>
                <w:sz w:val="20"/>
                <w:szCs w:val="20"/>
              </w:rPr>
              <w:t>Pluralista</w:t>
            </w:r>
          </w:p>
        </w:tc>
        <w:tc>
          <w:tcPr>
            <w:tcW w:w="1629" w:type="dxa"/>
          </w:tcPr>
          <w:p w:rsidR="00E35E98" w:rsidRPr="00243E30" w:rsidRDefault="00E35E98" w:rsidP="00955297">
            <w:pPr>
              <w:jc w:val="both"/>
              <w:rPr>
                <w:sz w:val="20"/>
                <w:szCs w:val="20"/>
              </w:rPr>
            </w:pPr>
            <w:r>
              <w:rPr>
                <w:sz w:val="20"/>
                <w:szCs w:val="20"/>
              </w:rPr>
              <w:t>T</w:t>
            </w:r>
            <w:r w:rsidRPr="00243E30">
              <w:rPr>
                <w:sz w:val="20"/>
                <w:szCs w:val="20"/>
              </w:rPr>
              <w:t>eocentrico</w:t>
            </w:r>
          </w:p>
          <w:p w:rsidR="00E35E98" w:rsidRPr="00243E30" w:rsidRDefault="00E35E98" w:rsidP="00955297">
            <w:pPr>
              <w:jc w:val="both"/>
              <w:rPr>
                <w:sz w:val="20"/>
                <w:szCs w:val="20"/>
              </w:rPr>
            </w:pPr>
            <w:proofErr w:type="spellStart"/>
            <w:r w:rsidRPr="00243E30">
              <w:rPr>
                <w:sz w:val="20"/>
                <w:szCs w:val="20"/>
              </w:rPr>
              <w:t>soteriocentrico</w:t>
            </w:r>
            <w:proofErr w:type="spellEnd"/>
          </w:p>
        </w:tc>
        <w:tc>
          <w:tcPr>
            <w:tcW w:w="1630" w:type="dxa"/>
          </w:tcPr>
          <w:p w:rsidR="00E35E98" w:rsidRDefault="00E35E98" w:rsidP="00955297">
            <w:pPr>
              <w:jc w:val="both"/>
              <w:rPr>
                <w:sz w:val="20"/>
                <w:szCs w:val="20"/>
              </w:rPr>
            </w:pPr>
            <w:r>
              <w:rPr>
                <w:sz w:val="20"/>
                <w:szCs w:val="20"/>
              </w:rPr>
              <w:t>Cristo t</w:t>
            </w:r>
            <w:r w:rsidRPr="00243E30">
              <w:rPr>
                <w:sz w:val="20"/>
                <w:szCs w:val="20"/>
              </w:rPr>
              <w:t>ra le religioni (norma</w:t>
            </w:r>
          </w:p>
          <w:p w:rsidR="00E35E98" w:rsidRPr="00243E30" w:rsidRDefault="00E35E98" w:rsidP="00955297">
            <w:pPr>
              <w:jc w:val="both"/>
              <w:rPr>
                <w:sz w:val="20"/>
                <w:szCs w:val="20"/>
              </w:rPr>
            </w:pPr>
            <w:r w:rsidRPr="00243E30">
              <w:rPr>
                <w:sz w:val="20"/>
                <w:szCs w:val="20"/>
              </w:rPr>
              <w:t>o possibile via)</w:t>
            </w:r>
          </w:p>
        </w:tc>
        <w:tc>
          <w:tcPr>
            <w:tcW w:w="1630" w:type="dxa"/>
          </w:tcPr>
          <w:p w:rsidR="00E35E98" w:rsidRDefault="00E35E98" w:rsidP="00955297">
            <w:pPr>
              <w:jc w:val="both"/>
              <w:rPr>
                <w:sz w:val="20"/>
                <w:szCs w:val="20"/>
              </w:rPr>
            </w:pPr>
            <w:r w:rsidRPr="00243E30">
              <w:rPr>
                <w:sz w:val="20"/>
                <w:szCs w:val="20"/>
              </w:rPr>
              <w:t xml:space="preserve">Agisce nelle varie esperienze autonomamente, senza riferimento a Cristo, </w:t>
            </w:r>
          </w:p>
          <w:p w:rsidR="00E35E98" w:rsidRPr="00243E30" w:rsidRDefault="00E35E98" w:rsidP="00955297">
            <w:pPr>
              <w:jc w:val="both"/>
              <w:rPr>
                <w:sz w:val="20"/>
                <w:szCs w:val="20"/>
              </w:rPr>
            </w:pPr>
            <w:r w:rsidRPr="00243E30">
              <w:rPr>
                <w:sz w:val="20"/>
                <w:szCs w:val="20"/>
              </w:rPr>
              <w:t>che apre anzi all’universale</w:t>
            </w:r>
          </w:p>
        </w:tc>
        <w:tc>
          <w:tcPr>
            <w:tcW w:w="1630" w:type="dxa"/>
          </w:tcPr>
          <w:p w:rsidR="00E35E98" w:rsidRDefault="00E35E98" w:rsidP="00955297">
            <w:pPr>
              <w:jc w:val="both"/>
              <w:rPr>
                <w:sz w:val="20"/>
                <w:szCs w:val="20"/>
              </w:rPr>
            </w:pPr>
            <w:r w:rsidRPr="00243E30">
              <w:rPr>
                <w:sz w:val="20"/>
                <w:szCs w:val="20"/>
              </w:rPr>
              <w:t>Plurale e segnata da discontinuità: varie economie (unità trascendente</w:t>
            </w:r>
          </w:p>
          <w:p w:rsidR="00E35E98" w:rsidRPr="00243E30" w:rsidRDefault="00E35E98" w:rsidP="00955297">
            <w:pPr>
              <w:jc w:val="both"/>
              <w:rPr>
                <w:sz w:val="20"/>
                <w:szCs w:val="20"/>
              </w:rPr>
            </w:pPr>
            <w:r>
              <w:rPr>
                <w:sz w:val="20"/>
                <w:szCs w:val="20"/>
              </w:rPr>
              <w:t>o in un</w:t>
            </w:r>
            <w:r w:rsidRPr="00243E30">
              <w:rPr>
                <w:sz w:val="20"/>
                <w:szCs w:val="20"/>
              </w:rPr>
              <w:t xml:space="preserve"> mistero al di là)</w:t>
            </w:r>
          </w:p>
        </w:tc>
        <w:tc>
          <w:tcPr>
            <w:tcW w:w="1630" w:type="dxa"/>
          </w:tcPr>
          <w:p w:rsidR="00E35E98" w:rsidRPr="00243E30" w:rsidRDefault="00E35E98" w:rsidP="00955297">
            <w:pPr>
              <w:jc w:val="both"/>
              <w:rPr>
                <w:sz w:val="20"/>
                <w:szCs w:val="20"/>
              </w:rPr>
            </w:pPr>
            <w:r w:rsidRPr="00243E30">
              <w:rPr>
                <w:sz w:val="20"/>
                <w:szCs w:val="20"/>
              </w:rPr>
              <w:t>Trascendente e dispersa nelle varie forme dell’esperienza</w:t>
            </w:r>
          </w:p>
        </w:tc>
      </w:tr>
    </w:tbl>
    <w:p w:rsidR="00E35E98" w:rsidRDefault="00E35E98" w:rsidP="00E35E98">
      <w:pPr>
        <w:jc w:val="both"/>
      </w:pPr>
    </w:p>
    <w:p w:rsidR="00E35E98" w:rsidRPr="00BA7914" w:rsidRDefault="00E35E98" w:rsidP="00E35E98">
      <w:pPr>
        <w:jc w:val="both"/>
        <w:rPr>
          <w:sz w:val="22"/>
          <w:szCs w:val="22"/>
        </w:rPr>
      </w:pPr>
      <w:r w:rsidRPr="00BA7914">
        <w:rPr>
          <w:sz w:val="22"/>
          <w:szCs w:val="22"/>
        </w:rPr>
        <w:t>Si noti che il paradigma teocentrico presenta due varianti: nella prima Gesù Cristo rimane norma della vera relazione con Dio, mentre nella seconda si propone semplicemente come una possibile via tra altre.</w:t>
      </w:r>
      <w:r>
        <w:rPr>
          <w:sz w:val="22"/>
          <w:szCs w:val="22"/>
        </w:rPr>
        <w:t xml:space="preserve"> </w:t>
      </w:r>
      <w:r w:rsidRPr="00BA7914">
        <w:rPr>
          <w:sz w:val="22"/>
          <w:szCs w:val="22"/>
        </w:rPr>
        <w:t xml:space="preserve">Ne deriva lo schema corrispondente delle posizioni attuali della </w:t>
      </w:r>
      <w:proofErr w:type="spellStart"/>
      <w:r w:rsidRPr="00BA7914">
        <w:rPr>
          <w:sz w:val="22"/>
          <w:szCs w:val="22"/>
        </w:rPr>
        <w:t>TdR</w:t>
      </w:r>
      <w:proofErr w:type="spellEnd"/>
      <w:r w:rsidRPr="00BA7914">
        <w:rPr>
          <w:sz w:val="22"/>
          <w:szCs w:val="22"/>
        </w:rPr>
        <w:t>:</w:t>
      </w:r>
    </w:p>
    <w:p w:rsidR="00E35E98" w:rsidRDefault="00E35E98" w:rsidP="00E35E98">
      <w:pPr>
        <w:jc w:val="both"/>
      </w:pPr>
    </w:p>
    <w:p w:rsidR="00E35E98" w:rsidRDefault="00E35E98" w:rsidP="00E35E98">
      <w:pPr>
        <w:jc w:val="both"/>
      </w:pPr>
      <w:r>
        <w:t xml:space="preserve">3. </w:t>
      </w:r>
      <w:r w:rsidRPr="002207AF">
        <w:rPr>
          <w:i/>
        </w:rPr>
        <w:t>Spunti per una valutazione di simili classificazioni</w:t>
      </w:r>
      <w:r>
        <w:rPr>
          <w:i/>
        </w:rPr>
        <w:t xml:space="preserve">. </w:t>
      </w:r>
      <w:r>
        <w:t xml:space="preserve">(a) </w:t>
      </w:r>
      <w:r w:rsidRPr="00A45D56">
        <w:rPr>
          <w:i/>
        </w:rPr>
        <w:t>Il rischio della perdita della ricchezza di prospettiv</w:t>
      </w:r>
      <w:r>
        <w:rPr>
          <w:i/>
        </w:rPr>
        <w:t>e</w:t>
      </w:r>
      <w:r>
        <w:t xml:space="preserve">. Come ogni classificazione anche quella dei tre paradigmi tende a semplificare le prospettive implicite nelle diverse posizioni. L’idea di una successione di modelli, che tendono sempre più verso una logica pluralista, falsa la prospettiva. Così si giunge a ritenere implicitamente che il passaggio da un modello esclusivista e uno </w:t>
      </w:r>
      <w:proofErr w:type="spellStart"/>
      <w:r>
        <w:t>inclusivista</w:t>
      </w:r>
      <w:proofErr w:type="spellEnd"/>
      <w:r>
        <w:t xml:space="preserve"> implichi la rinuncia a pensare al ruolo della Chiesa nella salvezza (per evitare un </w:t>
      </w:r>
      <w:proofErr w:type="spellStart"/>
      <w:r>
        <w:t>ecclesiocentrismo</w:t>
      </w:r>
      <w:proofErr w:type="spellEnd"/>
      <w:r>
        <w:t xml:space="preserve"> sorpassato). In tal modo però si accetta acriticamente che il rapporto tra religioni sia un rapporto tra determinazioni culturali della relazione con Dio più che un incontro-confronto tra </w:t>
      </w:r>
      <w:smartTag w:uri="urn:schemas-microsoft-com:office:smarttags" w:element="PersonName">
        <w:smartTagPr>
          <w:attr w:name="ProductID" w:val="la Chiesa"/>
        </w:smartTagPr>
        <w:r>
          <w:t>la Chiesa</w:t>
        </w:r>
      </w:smartTag>
      <w:r>
        <w:t xml:space="preserve"> e altre comunità di credenti. In verità lo stesso rapporto di Cristo con le religioni trova la sua visibilità e misura passando per </w:t>
      </w:r>
      <w:smartTag w:uri="urn:schemas-microsoft-com:office:smarttags" w:element="PersonName">
        <w:smartTagPr>
          <w:attr w:name="ProductID" w:val="la Chiesa"/>
        </w:smartTagPr>
        <w:r>
          <w:t>la Chiesa</w:t>
        </w:r>
      </w:smartTag>
      <w:r>
        <w:t>, per cui l’assunzione dell’</w:t>
      </w:r>
      <w:proofErr w:type="spellStart"/>
      <w:r>
        <w:t>inclusivismo</w:t>
      </w:r>
      <w:proofErr w:type="spellEnd"/>
      <w:r>
        <w:t xml:space="preserve"> cristocentrico non deve far perdere di vista il problema dell’appartenenza al corpo ecclesiale, comunque questo sia inteso. Lo stesso varrebbe del teocentrismo pluralista che si esimesse dal verificare il senso del rimando a un mediatore, così da smarrire l’originalità della mediazione </w:t>
      </w:r>
      <w:r w:rsidR="00EE5170">
        <w:t>di Gesù Cristo</w:t>
      </w:r>
      <w:r>
        <w:t xml:space="preserve">. Forse l’orizzonte che costringe a mantenere insieme le diverse dimensioni pur nelle differenti logiche è quello storico-salvifico. Il valore delle religioni nel piano di Dio può essere chiarito solo assumendo e verificando la pertinenza teologica dell’idea di un’unica economia salvifica, con un inizio e un compimento. Ma proprio qui si incontra la contestazione culturale postmoderna pluralista e relativista: esiste veramente un’unica storia di salvezza e rivelazione? </w:t>
      </w:r>
      <w:r w:rsidR="00EE5170">
        <w:t>É</w:t>
      </w:r>
      <w:r>
        <w:t xml:space="preserve"> possibile che tutti gli uomini convergano verso un unico destino? La stessa domanda di salvezza non compromette il rapporto tra religioni che hanno concezioni totalmente diverse della salvezza? Non è meglio confronta</w:t>
      </w:r>
      <w:r w:rsidR="00EE5170">
        <w:t>r</w:t>
      </w:r>
      <w:r>
        <w:t xml:space="preserve">si sull’idea di verità (di Dio, dell’uomo, del tempo)? Ma la religione è misurabile su un’idea di verità? Di fatto esistono nelle religioni concezioni molto diverse del vero (una verità inclusiva e sincretista nell’induismo, una verità esclusiva nei monoteismi del Libro, una pluralità relativista nei politeismi pagani e neopagani). Questa problematica </w:t>
      </w:r>
      <w:r w:rsidRPr="00527DAD">
        <w:rPr>
          <w:i/>
        </w:rPr>
        <w:t>è importante perché permette di accorgersi della necessità di chiarire ciò che si cerca nelle altre religioni</w:t>
      </w:r>
      <w:r>
        <w:t xml:space="preserve">, sia nell’ambito del dialogo che nella valutazione reciproca. </w:t>
      </w:r>
      <w:r w:rsidR="00EE5170">
        <w:t>É</w:t>
      </w:r>
      <w:r>
        <w:t xml:space="preserve"> questo l’elemento irrinunciabile de</w:t>
      </w:r>
      <w:r w:rsidR="00EE5170">
        <w:t xml:space="preserve">ll’impostazione </w:t>
      </w:r>
      <w:proofErr w:type="spellStart"/>
      <w:r w:rsidR="00EE5170">
        <w:t>ecclesiocentrico</w:t>
      </w:r>
      <w:proofErr w:type="spellEnd"/>
      <w:r>
        <w:t>-esclusivista, che si interrogava su come si salvano i credenti di altre religioni. Si trattava di capire come i non cristiani realizzano quella conoscenza soprannaturale di Dio che propizia l’amore al di sopra di ogni cosa che nella fede salva.</w:t>
      </w:r>
    </w:p>
    <w:p w:rsidR="00E35E98" w:rsidRDefault="00E35E98" w:rsidP="00E35E98">
      <w:pPr>
        <w:jc w:val="both"/>
      </w:pPr>
    </w:p>
    <w:p w:rsidR="00E35E98" w:rsidRPr="00EA79EC" w:rsidRDefault="00E35E98" w:rsidP="00E35E98">
      <w:pPr>
        <w:jc w:val="both"/>
      </w:pPr>
      <w:r>
        <w:lastRenderedPageBreak/>
        <w:t xml:space="preserve">(b) </w:t>
      </w:r>
      <w:r w:rsidRPr="00A45D56">
        <w:rPr>
          <w:i/>
        </w:rPr>
        <w:t>Paradigmi teologici alternativi o dimensioni dell’atto di fede?</w:t>
      </w:r>
      <w:r>
        <w:t xml:space="preserve"> Ci si deve chiedere se queste distinzioni di paradigmi non corrispondano meglio ad alcune dimensioni costitutive dell’atto di fede, in cui emerge la struttura del «credere» cristiano. Da questo punto di vista i</w:t>
      </w:r>
      <w:r w:rsidRPr="00EA79EC">
        <w:t>l problema non è tanto la loro adeguatezza a catalogare tutte le posizioni in gioco, quanto piuttosto il loro referente: di cosa parlano questi modelli? Dicono semplicemente d</w:t>
      </w:r>
      <w:r w:rsidR="005B0009">
        <w:t>iverse</w:t>
      </w:r>
      <w:r w:rsidRPr="00EA79EC">
        <w:t xml:space="preserve"> sensibilità teologiche o non invece dimensioni costitutive dell’atto di fede? A noi pare che questi </w:t>
      </w:r>
      <w:r w:rsidR="005B0009">
        <w:t>“</w:t>
      </w:r>
      <w:r w:rsidRPr="00EA79EC">
        <w:t>presunti modelli</w:t>
      </w:r>
      <w:r w:rsidR="005B0009">
        <w:t>”</w:t>
      </w:r>
      <w:r w:rsidRPr="00EA79EC">
        <w:t xml:space="preserve"> vadano applicati anzitutto all’atto di fede. Esso conosce infatti una logica esclusivista, connessa alla «logica dell’appartenenza», per la quale il cristiano avverte che nella Chiesa, sua casa, gli sono offerti tutti i mezzi per camminare verso la salvezza. Non sa se fuori potrà resistere, senza questi aiuti, per cui scoraggia chiunque dall’abban</w:t>
      </w:r>
      <w:r w:rsidR="005B0009">
        <w:t>d</w:t>
      </w:r>
      <w:r w:rsidRPr="00EA79EC">
        <w:t xml:space="preserve">onare la sua casa. </w:t>
      </w:r>
      <w:r w:rsidR="005B0009">
        <w:t xml:space="preserve">Nella chiesa c’è qualcosa di esclusivo, nel senso che non c’è altrove o comunque non allo stesso modo. </w:t>
      </w:r>
      <w:r w:rsidRPr="00EA79EC">
        <w:t>L’</w:t>
      </w:r>
      <w:proofErr w:type="spellStart"/>
      <w:r w:rsidRPr="00EA79EC">
        <w:t>inclusivismo</w:t>
      </w:r>
      <w:proofErr w:type="spellEnd"/>
      <w:r w:rsidRPr="00EA79EC">
        <w:t xml:space="preserve"> coglie invece la «logica della testimonianza»: il riconoscimento, pieno di stupore, della chiamata di Cristo che precede e fonda la risposta dell’uomo, viene esteso alla condizione di ogni altro uomo, qualunque sia la sua </w:t>
      </w:r>
      <w:r w:rsidR="005B0009">
        <w:t>situazione culturale o</w:t>
      </w:r>
      <w:r w:rsidRPr="00EA79EC">
        <w:t xml:space="preserve"> religiosa. Se ha raggiunto me, la grazia di Cristo vuole e può raggiungere ogni altro uomo, attraverso tutto ciò che ne costituisce la realtà concreta. Infine il pluralismo mette in luce la «logica dell’appropriazione» del dono di Dio: proprio perché in Gesù Cristo Dio dice di sé, Dio stesso pronuncia il suo nome venendo a noi in una comunione nuova (Regno), il cristiano è consapevole che non riuscirà mai a dire il nome di Dio </w:t>
      </w:r>
      <w:r w:rsidR="005B0009">
        <w:t xml:space="preserve">“così </w:t>
      </w:r>
      <w:r w:rsidRPr="00EA79EC">
        <w:t>come Dio lo pronuncia</w:t>
      </w:r>
      <w:r w:rsidR="005B0009">
        <w:t>”</w:t>
      </w:r>
      <w:r w:rsidRPr="00EA79EC">
        <w:t xml:space="preserve"> nel suo Figlio. C’è spazio quindi per una pluralità di appropriazioni della rivelazione cristiana del nome di Dio. L’unica condizione è che l’uomo si faccia discepolo della libertà storica di Gesù, in cui questo Nome realizza tutte le sue potenzialità salvifiche.</w:t>
      </w:r>
    </w:p>
    <w:p w:rsidR="00E35E98" w:rsidRDefault="00E35E98" w:rsidP="00E35E9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E35E98" w:rsidTr="00955297">
        <w:tc>
          <w:tcPr>
            <w:tcW w:w="4889" w:type="dxa"/>
          </w:tcPr>
          <w:p w:rsidR="00E35E98" w:rsidRPr="004820A2" w:rsidRDefault="00E35E98" w:rsidP="00955297">
            <w:pPr>
              <w:pStyle w:val="Titolo5"/>
              <w:rPr>
                <w:b w:val="0"/>
                <w:sz w:val="20"/>
                <w:szCs w:val="20"/>
              </w:rPr>
            </w:pPr>
            <w:r w:rsidRPr="004820A2">
              <w:rPr>
                <w:b w:val="0"/>
                <w:sz w:val="20"/>
                <w:szCs w:val="20"/>
              </w:rPr>
              <w:t>Esclusivismo</w:t>
            </w:r>
          </w:p>
        </w:tc>
        <w:tc>
          <w:tcPr>
            <w:tcW w:w="4889" w:type="dxa"/>
          </w:tcPr>
          <w:p w:rsidR="00E35E98" w:rsidRPr="00BA7914" w:rsidRDefault="00E35E98" w:rsidP="00955297">
            <w:pPr>
              <w:jc w:val="both"/>
              <w:rPr>
                <w:sz w:val="20"/>
                <w:szCs w:val="20"/>
              </w:rPr>
            </w:pPr>
            <w:r w:rsidRPr="00BA7914">
              <w:rPr>
                <w:i/>
                <w:iCs/>
                <w:sz w:val="20"/>
                <w:szCs w:val="20"/>
              </w:rPr>
              <w:t>Logica dell’appartenenza</w:t>
            </w:r>
            <w:r w:rsidRPr="00BA7914">
              <w:rPr>
                <w:sz w:val="20"/>
                <w:szCs w:val="20"/>
              </w:rPr>
              <w:t xml:space="preserve">: </w:t>
            </w:r>
            <w:smartTag w:uri="urn:schemas-microsoft-com:office:smarttags" w:element="PersonName">
              <w:smartTagPr>
                <w:attr w:name="ProductID" w:val="la Chiesa"/>
              </w:smartTagPr>
              <w:r w:rsidRPr="00BA7914">
                <w:rPr>
                  <w:sz w:val="20"/>
                  <w:szCs w:val="20"/>
                </w:rPr>
                <w:t>la Chiesa</w:t>
              </w:r>
            </w:smartTag>
            <w:r w:rsidRPr="00BA7914">
              <w:rPr>
                <w:sz w:val="20"/>
                <w:szCs w:val="20"/>
              </w:rPr>
              <w:t xml:space="preserve"> a cui appartengo è la mia casa, in cui trovo tutti i mezzi per vivere</w:t>
            </w:r>
          </w:p>
        </w:tc>
      </w:tr>
      <w:tr w:rsidR="00E35E98" w:rsidTr="00955297">
        <w:tc>
          <w:tcPr>
            <w:tcW w:w="4889" w:type="dxa"/>
          </w:tcPr>
          <w:p w:rsidR="00E35E98" w:rsidRPr="004820A2" w:rsidRDefault="00E35E98" w:rsidP="00955297">
            <w:pPr>
              <w:pStyle w:val="Titolo5"/>
              <w:rPr>
                <w:b w:val="0"/>
                <w:sz w:val="20"/>
                <w:szCs w:val="20"/>
              </w:rPr>
            </w:pPr>
            <w:proofErr w:type="spellStart"/>
            <w:r w:rsidRPr="004820A2">
              <w:rPr>
                <w:b w:val="0"/>
                <w:sz w:val="20"/>
                <w:szCs w:val="20"/>
              </w:rPr>
              <w:t>Inclusivismo</w:t>
            </w:r>
            <w:proofErr w:type="spellEnd"/>
          </w:p>
        </w:tc>
        <w:tc>
          <w:tcPr>
            <w:tcW w:w="4889" w:type="dxa"/>
          </w:tcPr>
          <w:p w:rsidR="00E35E98" w:rsidRPr="00BA7914" w:rsidRDefault="00E35E98" w:rsidP="00955297">
            <w:pPr>
              <w:jc w:val="both"/>
              <w:rPr>
                <w:sz w:val="20"/>
                <w:szCs w:val="20"/>
              </w:rPr>
            </w:pPr>
            <w:r w:rsidRPr="00BA7914">
              <w:rPr>
                <w:i/>
                <w:iCs/>
                <w:sz w:val="20"/>
                <w:szCs w:val="20"/>
              </w:rPr>
              <w:t>Logica testimoniale</w:t>
            </w:r>
            <w:r w:rsidRPr="00BA7914">
              <w:rPr>
                <w:sz w:val="20"/>
                <w:szCs w:val="20"/>
              </w:rPr>
              <w:t>: nella fede mi scopro preceduto da un dono di Dio in Cristo che mi è offerto gratuitamente, nello scarto tra la mia indegnità e la bontà divina… questo deve valere per ogni uomo</w:t>
            </w:r>
          </w:p>
        </w:tc>
      </w:tr>
      <w:tr w:rsidR="00E35E98" w:rsidTr="00955297">
        <w:tc>
          <w:tcPr>
            <w:tcW w:w="4889" w:type="dxa"/>
          </w:tcPr>
          <w:p w:rsidR="00E35E98" w:rsidRPr="004820A2" w:rsidRDefault="00E35E98" w:rsidP="00955297">
            <w:pPr>
              <w:pStyle w:val="Titolo5"/>
              <w:rPr>
                <w:b w:val="0"/>
                <w:sz w:val="20"/>
                <w:szCs w:val="20"/>
              </w:rPr>
            </w:pPr>
            <w:r w:rsidRPr="004820A2">
              <w:rPr>
                <w:b w:val="0"/>
                <w:sz w:val="20"/>
                <w:szCs w:val="20"/>
              </w:rPr>
              <w:t>Pluralismo</w:t>
            </w:r>
          </w:p>
        </w:tc>
        <w:tc>
          <w:tcPr>
            <w:tcW w:w="4889" w:type="dxa"/>
          </w:tcPr>
          <w:p w:rsidR="00E35E98" w:rsidRPr="00BA7914" w:rsidRDefault="00E35E98" w:rsidP="00955297">
            <w:pPr>
              <w:jc w:val="both"/>
              <w:rPr>
                <w:sz w:val="20"/>
                <w:szCs w:val="20"/>
              </w:rPr>
            </w:pPr>
            <w:r w:rsidRPr="00BA7914">
              <w:rPr>
                <w:i/>
                <w:iCs/>
                <w:sz w:val="20"/>
                <w:szCs w:val="20"/>
              </w:rPr>
              <w:t xml:space="preserve">Logica </w:t>
            </w:r>
            <w:proofErr w:type="spellStart"/>
            <w:r w:rsidRPr="00BA7914">
              <w:rPr>
                <w:i/>
                <w:iCs/>
                <w:sz w:val="20"/>
                <w:szCs w:val="20"/>
              </w:rPr>
              <w:t>obbedienziale</w:t>
            </w:r>
            <w:proofErr w:type="spellEnd"/>
            <w:r w:rsidRPr="00BA7914">
              <w:rPr>
                <w:sz w:val="20"/>
                <w:szCs w:val="20"/>
              </w:rPr>
              <w:t xml:space="preserve">: nella professione di fede confesso una verità di Dio che Dio stesso ha affermato e rivelato in Gesù Cristo… partecipo all’autoaffermazione di Dio (alla sua conoscenza e amore). E’ chiaro che non potrò mai dire questa verità così come Dio l’ha affermata in Cristo. C’è spazio per altre forme di </w:t>
            </w:r>
            <w:proofErr w:type="spellStart"/>
            <w:r w:rsidRPr="00BA7914">
              <w:rPr>
                <w:sz w:val="20"/>
                <w:szCs w:val="20"/>
              </w:rPr>
              <w:t>approprizione</w:t>
            </w:r>
            <w:proofErr w:type="spellEnd"/>
            <w:r w:rsidRPr="00BA7914">
              <w:rPr>
                <w:sz w:val="20"/>
                <w:szCs w:val="20"/>
              </w:rPr>
              <w:t xml:space="preserve"> di questa verità…</w:t>
            </w:r>
          </w:p>
        </w:tc>
      </w:tr>
    </w:tbl>
    <w:p w:rsidR="00E35E98" w:rsidRDefault="00E35E98" w:rsidP="00E35E98">
      <w:pPr>
        <w:jc w:val="both"/>
      </w:pPr>
    </w:p>
    <w:p w:rsidR="00E35E98" w:rsidRPr="00ED7100" w:rsidRDefault="00E35E98" w:rsidP="00E35E98">
      <w:pPr>
        <w:jc w:val="both"/>
      </w:pPr>
      <w:r>
        <w:t xml:space="preserve">(c) Una </w:t>
      </w:r>
      <w:r w:rsidRPr="0017488A">
        <w:rPr>
          <w:i/>
        </w:rPr>
        <w:t>panoramica delle posizioni</w:t>
      </w:r>
      <w:r>
        <w:t xml:space="preserve"> alla luce della </w:t>
      </w:r>
      <w:r w:rsidRPr="00425B96">
        <w:rPr>
          <w:i/>
        </w:rPr>
        <w:t xml:space="preserve">classificazione </w:t>
      </w:r>
      <w:proofErr w:type="spellStart"/>
      <w:r>
        <w:rPr>
          <w:i/>
        </w:rPr>
        <w:t>recepta</w:t>
      </w:r>
      <w:proofErr w:type="spellEnd"/>
      <w:r>
        <w:rPr>
          <w:i/>
        </w:rPr>
        <w:t xml:space="preserve">: </w:t>
      </w:r>
      <w:r>
        <w:t>elementi da tenere</w:t>
      </w:r>
    </w:p>
    <w:p w:rsidR="00E35E98" w:rsidRDefault="00E35E98" w:rsidP="00E35E98">
      <w:pPr>
        <w:jc w:val="both"/>
      </w:pPr>
    </w:p>
    <w:p w:rsidR="00E35E98" w:rsidRDefault="00E35E98" w:rsidP="00E35E98">
      <w:pPr>
        <w:jc w:val="both"/>
      </w:pPr>
      <w:r>
        <w:t xml:space="preserve">1) </w:t>
      </w:r>
      <w:r w:rsidRPr="0021312E">
        <w:rPr>
          <w:i/>
        </w:rPr>
        <w:t>L’esclusivismo</w:t>
      </w:r>
      <w:r>
        <w:t xml:space="preserve"> si incarna precipuamente nella posizione cattolica espressa dall’assioma </w:t>
      </w:r>
      <w:r w:rsidRPr="00F03581">
        <w:rPr>
          <w:i/>
        </w:rPr>
        <w:t xml:space="preserve">«extra </w:t>
      </w:r>
      <w:proofErr w:type="spellStart"/>
      <w:r w:rsidRPr="00F03581">
        <w:rPr>
          <w:i/>
        </w:rPr>
        <w:t>ecclesiam</w:t>
      </w:r>
      <w:proofErr w:type="spellEnd"/>
      <w:r w:rsidRPr="00F03581">
        <w:rPr>
          <w:i/>
        </w:rPr>
        <w:t xml:space="preserve"> nulla </w:t>
      </w:r>
      <w:proofErr w:type="spellStart"/>
      <w:r w:rsidRPr="00F03581">
        <w:rPr>
          <w:i/>
        </w:rPr>
        <w:t>salus</w:t>
      </w:r>
      <w:proofErr w:type="spellEnd"/>
      <w:r w:rsidRPr="00F03581">
        <w:rPr>
          <w:i/>
        </w:rPr>
        <w:t>»</w:t>
      </w:r>
      <w:r>
        <w:t xml:space="preserve">, ma anche nella contestazione della religione in nome della fede, propria della teologia dialettica (di ambito evangelico e calvinista: K. </w:t>
      </w:r>
      <w:proofErr w:type="spellStart"/>
      <w:r>
        <w:t>Barth</w:t>
      </w:r>
      <w:proofErr w:type="spellEnd"/>
      <w:r>
        <w:t xml:space="preserve">, E. </w:t>
      </w:r>
      <w:proofErr w:type="spellStart"/>
      <w:r>
        <w:t>Brunner</w:t>
      </w:r>
      <w:proofErr w:type="spellEnd"/>
      <w:r>
        <w:t xml:space="preserve">, H. </w:t>
      </w:r>
      <w:proofErr w:type="spellStart"/>
      <w:r>
        <w:t>Kraemer</w:t>
      </w:r>
      <w:proofErr w:type="spellEnd"/>
      <w:r>
        <w:t xml:space="preserve">). Questo modello è di fatto ormai liquidato senza troppe remore, come anche emerge dal testo della Commissione Teologica Internazionale citato sopra (n. 9). In verità simili giudizi sono ingiusti e approssimativi. Abbiamo preso atto della complessità del senso dell’assioma. Ma è pure nota la radicalità provocatoria della tesi </w:t>
      </w:r>
      <w:proofErr w:type="spellStart"/>
      <w:r>
        <w:t>barthiana</w:t>
      </w:r>
      <w:proofErr w:type="spellEnd"/>
      <w:r>
        <w:t xml:space="preserve"> secondo cui solo la fede corrisponde al venire del Dio vero, ossia realizza l’incontro col totalmente Altro. Ciò che vi è di irrinunciabile in questa posizione è </w:t>
      </w:r>
      <w:r w:rsidRPr="009F3B0D">
        <w:rPr>
          <w:i/>
        </w:rPr>
        <w:t>l’attenzione al mezzo e luogo della salvezza (</w:t>
      </w:r>
      <w:smartTag w:uri="urn:schemas-microsoft-com:office:smarttags" w:element="PersonName">
        <w:smartTagPr>
          <w:attr w:name="ProductID" w:val="la Chiesa"/>
        </w:smartTagPr>
        <w:r w:rsidRPr="009F3B0D">
          <w:rPr>
            <w:i/>
          </w:rPr>
          <w:t>la Chiesa</w:t>
        </w:r>
      </w:smartTag>
      <w:r w:rsidRPr="009F3B0D">
        <w:rPr>
          <w:i/>
        </w:rPr>
        <w:t xml:space="preserve"> appunto e l’appartenenza ad essa) e la preoccupazione per la novità cristiana della Rivelazione, non omologabile velocemente con altre esperienze religiose</w:t>
      </w:r>
      <w:r>
        <w:t xml:space="preserve">. Prima di congedare questa prospettiva è opportuno soffermarsi sulla logica che rende plausibile questo tipo di discorso. </w:t>
      </w:r>
    </w:p>
    <w:p w:rsidR="00E35E98" w:rsidRDefault="00E35E98" w:rsidP="00E35E98">
      <w:pPr>
        <w:jc w:val="both"/>
      </w:pPr>
    </w:p>
    <w:p w:rsidR="00E35E98" w:rsidRDefault="00E35E98" w:rsidP="00E35E98">
      <w:pPr>
        <w:jc w:val="both"/>
      </w:pPr>
      <w:r>
        <w:t xml:space="preserve">2) </w:t>
      </w:r>
      <w:r w:rsidRPr="0021312E">
        <w:rPr>
          <w:i/>
        </w:rPr>
        <w:t>L’</w:t>
      </w:r>
      <w:proofErr w:type="spellStart"/>
      <w:r w:rsidRPr="0021312E">
        <w:rPr>
          <w:i/>
        </w:rPr>
        <w:t>inclusivismo</w:t>
      </w:r>
      <w:proofErr w:type="spellEnd"/>
      <w:r w:rsidRPr="0021312E">
        <w:rPr>
          <w:i/>
        </w:rPr>
        <w:t xml:space="preserve"> cristocentrico</w:t>
      </w:r>
      <w:r>
        <w:rPr>
          <w:i/>
        </w:rPr>
        <w:t xml:space="preserve">. </w:t>
      </w:r>
      <w:r>
        <w:t xml:space="preserve">Si è già fatto cenno alla problematicità dell’accostamento tra cristocentrismo e logica </w:t>
      </w:r>
      <w:proofErr w:type="spellStart"/>
      <w:r>
        <w:t>inclusivista</w:t>
      </w:r>
      <w:proofErr w:type="spellEnd"/>
      <w:r>
        <w:t xml:space="preserve">. Di fatto autori come H. de </w:t>
      </w:r>
      <w:proofErr w:type="spellStart"/>
      <w:r>
        <w:t>Lubac</w:t>
      </w:r>
      <w:proofErr w:type="spellEnd"/>
      <w:r>
        <w:t xml:space="preserve"> e J. </w:t>
      </w:r>
      <w:proofErr w:type="spellStart"/>
      <w:r>
        <w:t>Daniélou</w:t>
      </w:r>
      <w:proofErr w:type="spellEnd"/>
      <w:r>
        <w:t xml:space="preserve"> restano in un orizzonte “</w:t>
      </w:r>
      <w:proofErr w:type="spellStart"/>
      <w:r>
        <w:t>ecclesiocentrico</w:t>
      </w:r>
      <w:proofErr w:type="spellEnd"/>
      <w:r>
        <w:t xml:space="preserve">” nella considerazione delle altre religioni, mentre autori come </w:t>
      </w:r>
      <w:proofErr w:type="spellStart"/>
      <w:r>
        <w:t>Dupuis</w:t>
      </w:r>
      <w:proofErr w:type="spellEnd"/>
      <w:r>
        <w:t xml:space="preserve"> e </w:t>
      </w:r>
      <w:proofErr w:type="spellStart"/>
      <w:r>
        <w:lastRenderedPageBreak/>
        <w:t>Küng</w:t>
      </w:r>
      <w:proofErr w:type="spellEnd"/>
      <w:r>
        <w:t xml:space="preserve"> sono più vicini alla prospettiva teocentrica. Si pone allora la domanda su cosa accomuni queste diverse posizioni teologiche, connotandole in modo </w:t>
      </w:r>
      <w:proofErr w:type="spellStart"/>
      <w:r>
        <w:t>inclusivista</w:t>
      </w:r>
      <w:proofErr w:type="spellEnd"/>
      <w:r>
        <w:t xml:space="preserve"> e cristocentrico. L’</w:t>
      </w:r>
      <w:proofErr w:type="spellStart"/>
      <w:r>
        <w:t>inclusivismo</w:t>
      </w:r>
      <w:proofErr w:type="spellEnd"/>
      <w:r>
        <w:t xml:space="preserve"> comprende due posizioni distinte a seconda del riconoscimento a Gesù Cristo di un valore “costitutivo” o “normativo”. </w:t>
      </w:r>
    </w:p>
    <w:p w:rsidR="00E35E98" w:rsidRDefault="00E35E98" w:rsidP="00E35E98">
      <w:pPr>
        <w:ind w:left="170" w:right="113"/>
        <w:jc w:val="both"/>
        <w:rPr>
          <w:sz w:val="22"/>
        </w:rPr>
      </w:pPr>
    </w:p>
    <w:p w:rsidR="00E35E98" w:rsidRDefault="00E35E98" w:rsidP="00E35E98">
      <w:pPr>
        <w:ind w:left="170" w:right="113"/>
        <w:jc w:val="both"/>
        <w:rPr>
          <w:sz w:val="22"/>
        </w:rPr>
      </w:pPr>
      <w:r w:rsidRPr="000F3735">
        <w:rPr>
          <w:sz w:val="22"/>
        </w:rPr>
        <w:t>L’</w:t>
      </w:r>
      <w:proofErr w:type="spellStart"/>
      <w:r w:rsidRPr="00B86615">
        <w:rPr>
          <w:i/>
          <w:sz w:val="22"/>
        </w:rPr>
        <w:t>inclusivismo</w:t>
      </w:r>
      <w:proofErr w:type="spellEnd"/>
      <w:r w:rsidRPr="00B86615">
        <w:rPr>
          <w:i/>
          <w:sz w:val="22"/>
        </w:rPr>
        <w:t xml:space="preserve"> costitutivo</w:t>
      </w:r>
      <w:r w:rsidRPr="000F3735">
        <w:rPr>
          <w:sz w:val="22"/>
        </w:rPr>
        <w:t xml:space="preserve"> considera la presenza di Cristo “nelle religioni” e rappresenta un’apertura che il Magistero fa sua, pur restando in bilico tra l’interpretazione più stretta della “teoria del compimento”, in cui le religioni sarebbero solo preparazioni al Vangelo, domande in attesa di risposta (J. </w:t>
      </w:r>
      <w:proofErr w:type="spellStart"/>
      <w:r w:rsidRPr="000F3735">
        <w:rPr>
          <w:sz w:val="22"/>
        </w:rPr>
        <w:t>Daniélou</w:t>
      </w:r>
      <w:proofErr w:type="spellEnd"/>
      <w:r w:rsidRPr="000F3735">
        <w:rPr>
          <w:sz w:val="22"/>
        </w:rPr>
        <w:t xml:space="preserve">), e la teoria più aperta di </w:t>
      </w:r>
      <w:proofErr w:type="spellStart"/>
      <w:r w:rsidRPr="000F3735">
        <w:rPr>
          <w:sz w:val="22"/>
        </w:rPr>
        <w:t>Rahner</w:t>
      </w:r>
      <w:proofErr w:type="spellEnd"/>
      <w:r w:rsidRPr="000F3735">
        <w:rPr>
          <w:sz w:val="22"/>
        </w:rPr>
        <w:t xml:space="preserve">, che ammette una presenza e un’azione di Cristo nelle altre tradizioni religiose. La posizione più aperta in quest’ambito risulta essere quella di J. </w:t>
      </w:r>
      <w:proofErr w:type="spellStart"/>
      <w:r w:rsidRPr="000F3735">
        <w:rPr>
          <w:sz w:val="22"/>
        </w:rPr>
        <w:t>Dupuis</w:t>
      </w:r>
      <w:proofErr w:type="spellEnd"/>
      <w:r w:rsidRPr="000F3735">
        <w:rPr>
          <w:sz w:val="22"/>
        </w:rPr>
        <w:t>, che cerca di mettere in evidenza il carattere relazionale dell’unicità costitutiva di Cristo, in una prospettiva trinitaria e pneumatologica, capace di valorizzare i semi di verità e rivelazione presenti nelle altre religioni</w:t>
      </w:r>
      <w:r>
        <w:rPr>
          <w:sz w:val="22"/>
        </w:rPr>
        <w:t>. In tal modo esse</w:t>
      </w:r>
      <w:r w:rsidRPr="000F3735">
        <w:rPr>
          <w:sz w:val="22"/>
        </w:rPr>
        <w:t xml:space="preserve"> possono “completare o arricchire” la rivelazione del Verbo in Cristo. Di fatto in Gesù il Verbo si è veramente rivelato, ma non si è esaurito e la realizza</w:t>
      </w:r>
      <w:r>
        <w:rPr>
          <w:sz w:val="22"/>
        </w:rPr>
        <w:t>zione storica e quindi limitata-finita della ricchezza del Logos</w:t>
      </w:r>
      <w:r w:rsidRPr="000F3735">
        <w:rPr>
          <w:sz w:val="22"/>
        </w:rPr>
        <w:t xml:space="preserve"> resta aperta a integrazioni </w:t>
      </w:r>
      <w:r w:rsidR="003B6B38">
        <w:rPr>
          <w:sz w:val="22"/>
        </w:rPr>
        <w:t xml:space="preserve">provenienti </w:t>
      </w:r>
      <w:r w:rsidRPr="000F3735">
        <w:rPr>
          <w:sz w:val="22"/>
        </w:rPr>
        <w:t>da altre religioni. Ciò garantisce il carattere complementare della verità delle religioni e quindi la sincerità del dialogo.</w:t>
      </w:r>
    </w:p>
    <w:p w:rsidR="00E35E98" w:rsidRDefault="00E35E98" w:rsidP="00E35E98">
      <w:pPr>
        <w:ind w:left="170" w:right="113"/>
        <w:jc w:val="both"/>
        <w:rPr>
          <w:sz w:val="22"/>
        </w:rPr>
      </w:pPr>
      <w:r>
        <w:rPr>
          <w:sz w:val="22"/>
        </w:rPr>
        <w:t>L’</w:t>
      </w:r>
      <w:proofErr w:type="spellStart"/>
      <w:r w:rsidRPr="00B86615">
        <w:rPr>
          <w:i/>
          <w:sz w:val="22"/>
        </w:rPr>
        <w:t>inclusivismo</w:t>
      </w:r>
      <w:proofErr w:type="spellEnd"/>
      <w:r w:rsidRPr="00B86615">
        <w:rPr>
          <w:i/>
          <w:sz w:val="22"/>
        </w:rPr>
        <w:t xml:space="preserve"> “normativo”</w:t>
      </w:r>
      <w:r>
        <w:rPr>
          <w:sz w:val="22"/>
        </w:rPr>
        <w:t xml:space="preserve"> invece riconosce in Cristo la rivelazione piena, definitiva e quindi normativa, ma considera le altre tradizioni religiose come vie di salvezza indipendenti. Cristo è dunque “al di sopra delle religioni” ma pur sempre tra di esse. </w:t>
      </w:r>
      <w:r w:rsidR="003B6B38">
        <w:rPr>
          <w:sz w:val="22"/>
        </w:rPr>
        <w:t>É</w:t>
      </w:r>
      <w:r>
        <w:rPr>
          <w:sz w:val="22"/>
        </w:rPr>
        <w:t xml:space="preserve"> una posizione che in varie forme si afferma tra i teologi cattolici </w:t>
      </w:r>
      <w:r w:rsidR="003B6B38">
        <w:rPr>
          <w:sz w:val="22"/>
        </w:rPr>
        <w:t>“</w:t>
      </w:r>
      <w:r>
        <w:rPr>
          <w:sz w:val="22"/>
        </w:rPr>
        <w:t>progressisti</w:t>
      </w:r>
      <w:r w:rsidR="003B6B38">
        <w:rPr>
          <w:sz w:val="22"/>
        </w:rPr>
        <w:t>”</w:t>
      </w:r>
      <w:r>
        <w:rPr>
          <w:sz w:val="22"/>
        </w:rPr>
        <w:t xml:space="preserve">, a partire dalle intuizioni di H.R. </w:t>
      </w:r>
      <w:proofErr w:type="spellStart"/>
      <w:r>
        <w:rPr>
          <w:sz w:val="22"/>
        </w:rPr>
        <w:t>Schlette</w:t>
      </w:r>
      <w:proofErr w:type="spellEnd"/>
      <w:r>
        <w:rPr>
          <w:sz w:val="22"/>
        </w:rPr>
        <w:t xml:space="preserve"> sulla “via ordinaria” di salvezza costituita dalle religioni (mentre </w:t>
      </w:r>
      <w:smartTag w:uri="urn:schemas-microsoft-com:office:smarttags" w:element="PersonName">
        <w:smartTagPr>
          <w:attr w:name="ProductID" w:val="la Chiesa"/>
        </w:smartTagPr>
        <w:r>
          <w:rPr>
            <w:sz w:val="22"/>
          </w:rPr>
          <w:t>la Chiesa</w:t>
        </w:r>
      </w:smartTag>
      <w:r>
        <w:rPr>
          <w:sz w:val="22"/>
        </w:rPr>
        <w:t xml:space="preserve"> costituirebbe una via straordinaria) e di H. </w:t>
      </w:r>
      <w:proofErr w:type="spellStart"/>
      <w:r>
        <w:rPr>
          <w:sz w:val="22"/>
        </w:rPr>
        <w:t>Küng</w:t>
      </w:r>
      <w:proofErr w:type="spellEnd"/>
      <w:r>
        <w:rPr>
          <w:sz w:val="22"/>
        </w:rPr>
        <w:t xml:space="preserve">. </w:t>
      </w:r>
    </w:p>
    <w:p w:rsidR="00E35E98" w:rsidRPr="000F3735" w:rsidRDefault="003B6B38" w:rsidP="00E35E98">
      <w:pPr>
        <w:ind w:left="170" w:right="113"/>
        <w:jc w:val="both"/>
        <w:rPr>
          <w:sz w:val="22"/>
        </w:rPr>
      </w:pPr>
      <w:r>
        <w:rPr>
          <w:sz w:val="22"/>
        </w:rPr>
        <w:t>É</w:t>
      </w:r>
      <w:r w:rsidR="00E35E98">
        <w:rPr>
          <w:sz w:val="22"/>
        </w:rPr>
        <w:t xml:space="preserve"> evidente che questa classificazione è preoccupata di mettere in luce il graduale passaggio al pluralismo, nel senso che passa dall’esclusivismo a un </w:t>
      </w:r>
      <w:proofErr w:type="spellStart"/>
      <w:r w:rsidR="00E35E98">
        <w:rPr>
          <w:sz w:val="22"/>
        </w:rPr>
        <w:t>inlcusivismo</w:t>
      </w:r>
      <w:proofErr w:type="spellEnd"/>
      <w:r w:rsidR="00E35E98">
        <w:rPr>
          <w:sz w:val="22"/>
        </w:rPr>
        <w:t xml:space="preserve"> centrato su Cristo unico mediatore di salvezza per arrivare a un </w:t>
      </w:r>
      <w:proofErr w:type="spellStart"/>
      <w:r w:rsidR="00E35E98">
        <w:rPr>
          <w:sz w:val="22"/>
        </w:rPr>
        <w:t>inclusivismo</w:t>
      </w:r>
      <w:proofErr w:type="spellEnd"/>
      <w:r w:rsidR="00E35E98">
        <w:rPr>
          <w:sz w:val="22"/>
        </w:rPr>
        <w:t xml:space="preserve"> più aperto al valore salvifico autonomo delle altre religioni. Pur accettando la pertinenza della distinzione tra le due vie, ci chiediamo se una tale distinzione colga ciò che vi è in comune tra i vari autori delle due posizioni </w:t>
      </w:r>
      <w:proofErr w:type="spellStart"/>
      <w:r w:rsidR="00E35E98">
        <w:rPr>
          <w:sz w:val="22"/>
        </w:rPr>
        <w:t>inclusiviste</w:t>
      </w:r>
      <w:proofErr w:type="spellEnd"/>
      <w:r w:rsidR="00E35E98">
        <w:rPr>
          <w:sz w:val="22"/>
        </w:rPr>
        <w:t>. In verità a noi pare che siano altri fattori a tenere insieme le posizioni e cioè: nell’</w:t>
      </w:r>
      <w:proofErr w:type="spellStart"/>
      <w:r w:rsidR="00E35E98">
        <w:rPr>
          <w:sz w:val="22"/>
        </w:rPr>
        <w:t>inclusivismo</w:t>
      </w:r>
      <w:proofErr w:type="spellEnd"/>
      <w:r w:rsidR="00E35E98">
        <w:rPr>
          <w:sz w:val="22"/>
        </w:rPr>
        <w:t xml:space="preserve"> costitutivo una certa prospettiva storico-salvifica centrata su Cristo, mentre nell’</w:t>
      </w:r>
      <w:proofErr w:type="spellStart"/>
      <w:r w:rsidR="00E35E98">
        <w:rPr>
          <w:sz w:val="22"/>
        </w:rPr>
        <w:t>inclusivismo</w:t>
      </w:r>
      <w:proofErr w:type="spellEnd"/>
      <w:r w:rsidR="00E35E98">
        <w:rPr>
          <w:sz w:val="22"/>
        </w:rPr>
        <w:t xml:space="preserve"> normativo si tratta di un’intuizione cristologia che poi viene applicata al rapporto del cristianesimo con le religioni</w:t>
      </w:r>
      <w:r>
        <w:rPr>
          <w:sz w:val="22"/>
        </w:rPr>
        <w:t xml:space="preserve"> (è compresa in modo molto diverso la singolarità di Gesù, ovvero al sua individualità normativa, la sua storicità universale)</w:t>
      </w:r>
      <w:r w:rsidR="00E35E98">
        <w:rPr>
          <w:sz w:val="22"/>
        </w:rPr>
        <w:t xml:space="preserve">. </w:t>
      </w:r>
    </w:p>
    <w:p w:rsidR="00E35E98" w:rsidRDefault="00E35E98" w:rsidP="00E35E98">
      <w:pPr>
        <w:jc w:val="both"/>
      </w:pPr>
    </w:p>
    <w:p w:rsidR="00E35E98" w:rsidRDefault="00E35E98" w:rsidP="00E35E98">
      <w:pPr>
        <w:jc w:val="both"/>
      </w:pPr>
      <w:r>
        <w:t xml:space="preserve">I teologi della «cristologia costitutiva» ci sembrano accomunati da una prospettiva eminentemente storico-salvifica. Sia in relazione alla nozione di rivelazione che di salvezza le loro argomentazioni sembrano caratterizzate dalla preoccupazione di tracciare un quadro storico-salvifico preciso, centrato sul compimento in Gesù Cristo e articolato nelle diverse fasi di un’unica economia. Le religioni si riconoscono in un dialogo reale e fecondo, se riescono a collocarsi in questa concreta economia divina. Invece la linea della «cristologia normativa» parte dalla novità di Gesù Cristo, da cui raccoglie un contenuto normativo, in relazione al quale determinare la posizione del cristianesimo e delle altre religioni nel mondo attuale (o se si vuole nelle culture). Tale novità è diversamente cercata nell’istanza etica di pace e accoglienza o nello stile </w:t>
      </w:r>
      <w:proofErr w:type="spellStart"/>
      <w:r>
        <w:t>kenotico</w:t>
      </w:r>
      <w:proofErr w:type="spellEnd"/>
      <w:r>
        <w:t xml:space="preserve"> di dono e servizio o ancora in un “nuovo essere” simbolizzato nel Cristo e realizzato pienamente da Gesù e a partire da qui, secondo gradazioni diverse, riconosce questo contenuto nelle altre religioni. Accomuna le due linee teologiche l’esigenza di trovare un principio d’ordine, che ha in Gesù la sua norma e misura, ma non si esaurisce in lui, anzi permette di ordinare altre esperienze. Questa impostazione è effettivamente vicina alla grande visione storico-salvifica e attenta ai segni dei tempi espressa al Concilio. Costituisce, peraltro, la soglia irrinunciabile per una considerazione delle religioni nel piano di Dio. Al di là di questa soglia ci può essere solo un cedimento della prospettiva religiosa alle istanze radicali della cultura relativista. </w:t>
      </w:r>
    </w:p>
    <w:p w:rsidR="00E35E98" w:rsidRDefault="00E35E98" w:rsidP="00E35E98">
      <w:pPr>
        <w:pStyle w:val="Corpotesto"/>
        <w:rPr>
          <w:sz w:val="24"/>
          <w:szCs w:val="24"/>
        </w:rPr>
      </w:pPr>
    </w:p>
    <w:p w:rsidR="00E35E98" w:rsidRPr="00402FAA" w:rsidRDefault="00E35E98" w:rsidP="00E35E98">
      <w:pPr>
        <w:jc w:val="both"/>
      </w:pPr>
      <w:r>
        <w:t xml:space="preserve">3) </w:t>
      </w:r>
      <w:r w:rsidRPr="0021312E">
        <w:rPr>
          <w:i/>
        </w:rPr>
        <w:t xml:space="preserve">Il pluralismo </w:t>
      </w:r>
      <w:r>
        <w:rPr>
          <w:i/>
        </w:rPr>
        <w:t>teocentrico</w:t>
      </w:r>
      <w:r>
        <w:t xml:space="preserve">. Anche la prospettiva pluralista presenta diverse anime e non è riducibile all’intuizione di “porre al centro Dio” (vi è anche un’istanza </w:t>
      </w:r>
      <w:proofErr w:type="spellStart"/>
      <w:r w:rsidRPr="005710C2">
        <w:rPr>
          <w:i/>
        </w:rPr>
        <w:t>regnocentrica</w:t>
      </w:r>
      <w:proofErr w:type="spellEnd"/>
      <w:r>
        <w:t xml:space="preserve"> o </w:t>
      </w:r>
      <w:proofErr w:type="spellStart"/>
      <w:r w:rsidRPr="005710C2">
        <w:rPr>
          <w:i/>
        </w:rPr>
        <w:t>soteriocentrica</w:t>
      </w:r>
      <w:proofErr w:type="spellEnd"/>
      <w:r>
        <w:t xml:space="preserve">), e comunque non realizza in modo esclusivo l’istanza teocentrica (si vedano </w:t>
      </w:r>
      <w:r w:rsidRPr="005710C2">
        <w:rPr>
          <w:i/>
        </w:rPr>
        <w:t xml:space="preserve">J. </w:t>
      </w:r>
      <w:proofErr w:type="spellStart"/>
      <w:r w:rsidRPr="005710C2">
        <w:rPr>
          <w:i/>
        </w:rPr>
        <w:t>Dupuis</w:t>
      </w:r>
      <w:proofErr w:type="spellEnd"/>
      <w:r>
        <w:t xml:space="preserve">, </w:t>
      </w:r>
      <w:r w:rsidRPr="005710C2">
        <w:rPr>
          <w:i/>
        </w:rPr>
        <w:t>G.</w:t>
      </w:r>
      <w:r>
        <w:t xml:space="preserve"> </w:t>
      </w:r>
      <w:r w:rsidRPr="005710C2">
        <w:rPr>
          <w:i/>
        </w:rPr>
        <w:t>D’Costa</w:t>
      </w:r>
      <w:r>
        <w:rPr>
          <w:i/>
        </w:rPr>
        <w:t>, P. Coda</w:t>
      </w:r>
      <w:r>
        <w:t xml:space="preserve"> e </w:t>
      </w:r>
      <w:r w:rsidRPr="005710C2">
        <w:rPr>
          <w:i/>
        </w:rPr>
        <w:t xml:space="preserve">C. </w:t>
      </w:r>
      <w:proofErr w:type="spellStart"/>
      <w:r w:rsidRPr="005710C2">
        <w:rPr>
          <w:i/>
        </w:rPr>
        <w:t>Geffré</w:t>
      </w:r>
      <w:proofErr w:type="spellEnd"/>
      <w:r>
        <w:t xml:space="preserve">). L’insoddisfazione per la posizione </w:t>
      </w:r>
      <w:proofErr w:type="spellStart"/>
      <w:r>
        <w:t>inclusivista</w:t>
      </w:r>
      <w:proofErr w:type="spellEnd"/>
      <w:r>
        <w:t xml:space="preserve"> deriva dal </w:t>
      </w:r>
      <w:r>
        <w:lastRenderedPageBreak/>
        <w:t>fatto che l’istanza pluralista non è pienamente soddisfatta. Di fatto non esiste un dialogo-confronto alla pari tra le religioni, non essendoci uguaglianza di principio. L’</w:t>
      </w:r>
      <w:proofErr w:type="spellStart"/>
      <w:r>
        <w:t>inclusivismo</w:t>
      </w:r>
      <w:proofErr w:type="spellEnd"/>
      <w:r>
        <w:t xml:space="preserve"> presuppone una rivendicazione di superiorità che rende meno sincero il dialogo. Le altre religioni sono abrogate, superate dall’arrivo di Cristo e quindi provvisorie. Il dialogo serve dunque agli </w:t>
      </w:r>
      <w:proofErr w:type="spellStart"/>
      <w:r>
        <w:t>inclusivisti</w:t>
      </w:r>
      <w:proofErr w:type="spellEnd"/>
      <w:r>
        <w:t xml:space="preserve"> per manifestare e diffondere una verità già nota, più che a cercare la verità nel dialogo stesso. Da qui la proposta pluralista di sbilanciarsi sulla mediazione culturale relativista per non imporre all’altro il proprio punto di vista, mantenendosi attenti alla sua differenza irriducibile. </w:t>
      </w:r>
      <w:r w:rsidR="007D6D1E">
        <w:t>É</w:t>
      </w:r>
      <w:r>
        <w:t xml:space="preserve"> proprio l’esigenza di accogliere l’altro nella sua alterità, in regime di reciprocità, complementarietà e mutualità, a spingere in una sorta di dispersione ermeneutica inafferrabile della verità, che tutti accomuna senza essere afferrata da nessuno in maniera esclusiva. Siamo in regime teocentrico e pluralista, ovvero “Cristo tra le religioni e in compagnia delle altre figure religiose sulla via verso Dio”. Anche qui possiamo sotto-distinguere due linee maggiori: </w:t>
      </w:r>
    </w:p>
    <w:p w:rsidR="00E35E98" w:rsidRDefault="00E35E98" w:rsidP="00E35E98">
      <w:pPr>
        <w:ind w:left="708"/>
        <w:jc w:val="both"/>
        <w:rPr>
          <w:sz w:val="22"/>
          <w:szCs w:val="22"/>
        </w:rPr>
      </w:pPr>
    </w:p>
    <w:p w:rsidR="00E35E98" w:rsidRPr="0009157F" w:rsidRDefault="00E35E98" w:rsidP="00E35E98">
      <w:pPr>
        <w:ind w:left="708"/>
        <w:jc w:val="both"/>
        <w:rPr>
          <w:sz w:val="22"/>
          <w:szCs w:val="22"/>
        </w:rPr>
      </w:pPr>
      <w:r w:rsidRPr="0009157F">
        <w:rPr>
          <w:sz w:val="22"/>
          <w:szCs w:val="22"/>
        </w:rPr>
        <w:t xml:space="preserve">(a) Il teocentrismo pluralista </w:t>
      </w:r>
      <w:r w:rsidRPr="0009157F">
        <w:rPr>
          <w:i/>
          <w:sz w:val="22"/>
          <w:szCs w:val="22"/>
        </w:rPr>
        <w:t>unitivo</w:t>
      </w:r>
      <w:r w:rsidRPr="0009157F">
        <w:rPr>
          <w:sz w:val="22"/>
          <w:szCs w:val="22"/>
        </w:rPr>
        <w:t xml:space="preserve"> (J. </w:t>
      </w:r>
      <w:proofErr w:type="spellStart"/>
      <w:r w:rsidRPr="0009157F">
        <w:rPr>
          <w:sz w:val="22"/>
          <w:szCs w:val="22"/>
        </w:rPr>
        <w:t>Hick</w:t>
      </w:r>
      <w:proofErr w:type="spellEnd"/>
      <w:r w:rsidRPr="0009157F">
        <w:rPr>
          <w:sz w:val="22"/>
          <w:szCs w:val="22"/>
        </w:rPr>
        <w:t xml:space="preserve">; P. </w:t>
      </w:r>
      <w:proofErr w:type="spellStart"/>
      <w:r w:rsidRPr="0009157F">
        <w:rPr>
          <w:sz w:val="22"/>
          <w:szCs w:val="22"/>
        </w:rPr>
        <w:t>Knitter</w:t>
      </w:r>
      <w:proofErr w:type="spellEnd"/>
      <w:r w:rsidRPr="0009157F">
        <w:rPr>
          <w:sz w:val="22"/>
          <w:szCs w:val="22"/>
        </w:rPr>
        <w:t>)</w:t>
      </w:r>
    </w:p>
    <w:p w:rsidR="00E35E98" w:rsidRDefault="00E35E98" w:rsidP="00E35E98">
      <w:pPr>
        <w:ind w:left="708"/>
        <w:jc w:val="both"/>
        <w:rPr>
          <w:sz w:val="22"/>
          <w:szCs w:val="22"/>
        </w:rPr>
      </w:pPr>
      <w:r w:rsidRPr="0009157F">
        <w:rPr>
          <w:sz w:val="22"/>
          <w:szCs w:val="22"/>
        </w:rPr>
        <w:t xml:space="preserve">(b) Il teocentrismo pluralista </w:t>
      </w:r>
      <w:r w:rsidRPr="0009157F">
        <w:rPr>
          <w:i/>
          <w:sz w:val="22"/>
          <w:szCs w:val="22"/>
        </w:rPr>
        <w:t>conseguente</w:t>
      </w:r>
      <w:r w:rsidRPr="0009157F">
        <w:rPr>
          <w:sz w:val="22"/>
          <w:szCs w:val="22"/>
        </w:rPr>
        <w:t xml:space="preserve"> (R. </w:t>
      </w:r>
      <w:proofErr w:type="spellStart"/>
      <w:r w:rsidRPr="0009157F">
        <w:rPr>
          <w:sz w:val="22"/>
          <w:szCs w:val="22"/>
        </w:rPr>
        <w:t>Panikkar</w:t>
      </w:r>
      <w:proofErr w:type="spellEnd"/>
      <w:r w:rsidRPr="0009157F">
        <w:rPr>
          <w:sz w:val="22"/>
          <w:szCs w:val="22"/>
        </w:rPr>
        <w:t xml:space="preserve"> e le teologie mutuali-reciproche)</w:t>
      </w:r>
    </w:p>
    <w:p w:rsidR="00E35E98" w:rsidRPr="0009157F" w:rsidRDefault="00E35E98" w:rsidP="00E35E98">
      <w:pPr>
        <w:ind w:left="708"/>
        <w:jc w:val="both"/>
        <w:rPr>
          <w:sz w:val="22"/>
          <w:szCs w:val="22"/>
        </w:rPr>
      </w:pPr>
    </w:p>
    <w:p w:rsidR="00E35E98" w:rsidRDefault="00E35E98" w:rsidP="00E35E98">
      <w:pPr>
        <w:jc w:val="both"/>
      </w:pPr>
      <w:r>
        <w:t xml:space="preserve">La linea maggioritaria è quella che crede di poter scovare dietro alla diversità delle forme, spesso incompatibili, delle diverse religioni un livello di unificazione che lascia presagire un fondo comune </w:t>
      </w:r>
      <w:r w:rsidRPr="00AD64D5">
        <w:rPr>
          <w:i/>
        </w:rPr>
        <w:t xml:space="preserve">(J. </w:t>
      </w:r>
      <w:proofErr w:type="spellStart"/>
      <w:r w:rsidRPr="00AD64D5">
        <w:rPr>
          <w:i/>
        </w:rPr>
        <w:t>Hick</w:t>
      </w:r>
      <w:proofErr w:type="spellEnd"/>
      <w:r w:rsidRPr="00AD64D5">
        <w:rPr>
          <w:i/>
        </w:rPr>
        <w:t xml:space="preserve">, P. </w:t>
      </w:r>
      <w:proofErr w:type="spellStart"/>
      <w:r w:rsidRPr="00AD64D5">
        <w:rPr>
          <w:i/>
        </w:rPr>
        <w:t>Knitter</w:t>
      </w:r>
      <w:proofErr w:type="spellEnd"/>
      <w:r w:rsidRPr="00AD64D5">
        <w:rPr>
          <w:i/>
        </w:rPr>
        <w:t>)</w:t>
      </w:r>
      <w:r>
        <w:t xml:space="preserve">. Invece l’altra linea rinuncia a cercare dietro alle diverse religioni un tale denominatore comune e cerca di mantenere aperto il dialogo come attenzione all’altro nella sua specificità irriducibile </w:t>
      </w:r>
      <w:r w:rsidRPr="00AD64D5">
        <w:rPr>
          <w:i/>
        </w:rPr>
        <w:t xml:space="preserve">(R. </w:t>
      </w:r>
      <w:proofErr w:type="spellStart"/>
      <w:r w:rsidRPr="00AD64D5">
        <w:rPr>
          <w:i/>
        </w:rPr>
        <w:t>Panikkar</w:t>
      </w:r>
      <w:proofErr w:type="spellEnd"/>
      <w:r w:rsidRPr="00AD64D5">
        <w:rPr>
          <w:i/>
        </w:rPr>
        <w:t>)</w:t>
      </w:r>
      <w:r>
        <w:t xml:space="preserve">. </w:t>
      </w:r>
      <w:r w:rsidR="007D6D1E">
        <w:t>C’è qui un</w:t>
      </w:r>
      <w:r>
        <w:t xml:space="preserve"> rischio di dispersione</w:t>
      </w:r>
      <w:r w:rsidR="007D6D1E">
        <w:t>,</w:t>
      </w:r>
      <w:r>
        <w:t xml:space="preserve"> ma soprattutto l’impossibilità di determinare un riferimento comune in base al quale valutare le diverse esperienze religiose. La considerazione delle religioni è ormai totalmente sbilanciata sul versante del pluralismo e del relativismo culturale. </w:t>
      </w:r>
    </w:p>
    <w:p w:rsidR="00E35E98" w:rsidRDefault="00E35E98" w:rsidP="00E35E98">
      <w:pPr>
        <w:jc w:val="both"/>
      </w:pPr>
    </w:p>
    <w:p w:rsidR="00E35E98" w:rsidRPr="002207AF" w:rsidRDefault="00E35E98" w:rsidP="00E35E98">
      <w:pPr>
        <w:jc w:val="center"/>
        <w:rPr>
          <w:i/>
        </w:rPr>
      </w:pPr>
      <w:r w:rsidRPr="002207AF">
        <w:rPr>
          <w:i/>
        </w:rPr>
        <w:t>Conclusioni critiche</w:t>
      </w:r>
    </w:p>
    <w:p w:rsidR="00E35E98" w:rsidRDefault="00E35E98" w:rsidP="00E35E98">
      <w:pPr>
        <w:jc w:val="both"/>
      </w:pPr>
    </w:p>
    <w:p w:rsidR="00E35E98" w:rsidRDefault="00E35E98" w:rsidP="00E35E98">
      <w:pPr>
        <w:jc w:val="both"/>
      </w:pPr>
      <w:r>
        <w:t>Quanto al rapporto tra Gesù e le religioni, occorre tenere in vista le tre dimensioni di fondo emerse sopra:</w:t>
      </w:r>
    </w:p>
    <w:p w:rsidR="00E35E98" w:rsidRDefault="00E35E98" w:rsidP="00E35E98">
      <w:pPr>
        <w:jc w:val="both"/>
      </w:pPr>
    </w:p>
    <w:p w:rsidR="00E35E98" w:rsidRDefault="00E35E98" w:rsidP="00E35E98">
      <w:pPr>
        <w:jc w:val="both"/>
      </w:pPr>
      <w:r>
        <w:t>(a) Gesù giudica le religioni, anzi la religione, riaprendola all’irruzione del trascendente (contro ogni forma di fondamentalismo), proprio perché fonda una libertà nuova, quella dei figli, che è in grado di identificare l’incondizionato in esperienze condizionate e finite.</w:t>
      </w:r>
    </w:p>
    <w:p w:rsidR="00E35E98" w:rsidRDefault="00E35E98" w:rsidP="00E35E98">
      <w:pPr>
        <w:jc w:val="both"/>
      </w:pPr>
    </w:p>
    <w:p w:rsidR="00E35E98" w:rsidRDefault="00E35E98" w:rsidP="00E35E98">
      <w:pPr>
        <w:jc w:val="both"/>
      </w:pPr>
      <w:r>
        <w:t>(b) Gesù articola le religioni all’interno di una storia di salvezza che è ripresa delle diverse alleanze, che in lui trovano la piena realizzazione del dono originario o della promessa che dall’origine le ha accese nell’esperienza dell’uomo con Dio. La storicità è qui ripresa e salvata proprio nel suo concreto svolgimento.</w:t>
      </w:r>
    </w:p>
    <w:p w:rsidR="00E35E98" w:rsidRDefault="00E35E98" w:rsidP="00E35E98">
      <w:pPr>
        <w:jc w:val="both"/>
      </w:pPr>
    </w:p>
    <w:p w:rsidR="00E35E98" w:rsidRDefault="00E35E98" w:rsidP="00E35E98">
      <w:pPr>
        <w:jc w:val="both"/>
      </w:pPr>
      <w:r>
        <w:t>(c) Gesù offre nella «</w:t>
      </w:r>
      <w:proofErr w:type="spellStart"/>
      <w:r>
        <w:t>fides</w:t>
      </w:r>
      <w:proofErr w:type="spellEnd"/>
      <w:r>
        <w:t xml:space="preserve"> </w:t>
      </w:r>
      <w:proofErr w:type="spellStart"/>
      <w:r>
        <w:t>Christi</w:t>
      </w:r>
      <w:proofErr w:type="spellEnd"/>
      <w:r>
        <w:t xml:space="preserve">» la forma riuscita della soggettività che è in grado di corrispondere pienamente al dono di Dio, in relazione al quale il soggetto è con-costituito nella sua verità ultima, perché originaria, di fronte al suo Signore. </w:t>
      </w:r>
    </w:p>
    <w:p w:rsidR="00E35E98" w:rsidRDefault="00E35E98" w:rsidP="00E35E98">
      <w:pPr>
        <w:jc w:val="both"/>
      </w:pPr>
    </w:p>
    <w:p w:rsidR="00E35E98" w:rsidRDefault="00E35E98" w:rsidP="00E35E98">
      <w:pPr>
        <w:jc w:val="both"/>
      </w:pPr>
      <w:r>
        <w:t>Possiamo ora cercare di caratterizzare il vero rapporto di Gesù con le religioni, tenendo conto delle tre precisazioni emerse. Ne ricaviamo l’indicazione delle possibili posizioni di Gesù di fronte alle altre religioni.</w:t>
      </w:r>
    </w:p>
    <w:p w:rsidR="00E35E98" w:rsidRDefault="00E35E98" w:rsidP="00E35E98">
      <w:pPr>
        <w:jc w:val="both"/>
      </w:pPr>
    </w:p>
    <w:p w:rsidR="00E35E98" w:rsidRDefault="00E35E98" w:rsidP="00E35E98">
      <w:pPr>
        <w:jc w:val="both"/>
      </w:pPr>
      <w:r w:rsidRPr="00D616DD">
        <w:rPr>
          <w:i/>
        </w:rPr>
        <w:t>Gesù contro le religioni</w:t>
      </w:r>
      <w:r w:rsidRPr="00736214">
        <w:t xml:space="preserve">. </w:t>
      </w:r>
      <w:r>
        <w:t xml:space="preserve">Gesù contesta </w:t>
      </w:r>
      <w:r w:rsidRPr="00920A73">
        <w:rPr>
          <w:i/>
        </w:rPr>
        <w:t>le</w:t>
      </w:r>
      <w:r>
        <w:t xml:space="preserve"> religioni nella misura in cui la fede problematizza </w:t>
      </w:r>
      <w:r w:rsidRPr="00920A73">
        <w:rPr>
          <w:i/>
        </w:rPr>
        <w:t>la religione</w:t>
      </w:r>
      <w:r>
        <w:t xml:space="preserve">, svelandone le ambiguità. È ingenuo affermare che la religione in quanto tale è sinonimo di esperienza salvifica. La religione è stata ed è ancora talvolta pretesto per opprimere, falsificare, nascondere. Non è detto che la religione riesca ad attivare nella sua pienezza il desiderio di vita e verità che abita il cuore dell’uomo. Anzi, molto spesso le dinamiche proprie della religione </w:t>
      </w:r>
      <w:r>
        <w:lastRenderedPageBreak/>
        <w:t>esprimono un funzionamento perverso o ripiegato del desiderio umano o mascherano meccanismi sociali violenti e ingiusti (come nel caso della violenza sacrificale scaricata su un capro espiatorio). In tutti questi casi si deve riconoscere che l’incontro con Gesù ha funzionato come contestazione e purificazione dell’esperienza religiosa. Ne ha smascherato le ambiguità e ne ha liberato le potenzialità più vere. Sembra dunque che la religione ritrovi tutta la sua portata salvifica proprio in relazione a Gesù. In lui diventa esperienza di una “fede che salva”. È interessante il fatto che Gesù non ha mai chiesto ai miracolati in cosa credessero. Era preoccupato che si affidassero alla sua esperienza della vicinanza salvifica di Dio (il Regno), per sperimentare la guarigione. Ma è anche vero che è solo Gesù che può decretare: «Va’, la tua fede ti ha salvato!». Sembra dunque che il rimando a Gesù sia inevitabile se si vuole liberare la potenzialità salvifica dell’esperienza religiosa, qualunque sia la sua forma concreta.</w:t>
      </w:r>
    </w:p>
    <w:p w:rsidR="00E35E98" w:rsidRDefault="00E35E98" w:rsidP="00E35E98">
      <w:pPr>
        <w:jc w:val="both"/>
      </w:pPr>
    </w:p>
    <w:p w:rsidR="00E35E98" w:rsidRDefault="00E35E98" w:rsidP="00E35E98">
      <w:pPr>
        <w:jc w:val="both"/>
      </w:pPr>
      <w:r w:rsidRPr="00D616DD">
        <w:rPr>
          <w:i/>
        </w:rPr>
        <w:t>Gesù nelle religioni</w:t>
      </w:r>
      <w:r w:rsidRPr="00736214">
        <w:t xml:space="preserve">. </w:t>
      </w:r>
      <w:r>
        <w:t xml:space="preserve">Questo contatto col mistero di Gesù Cristo, che attiva la dimensione salvifica della religione, è messo a tema dalla </w:t>
      </w:r>
      <w:r w:rsidRPr="00562336">
        <w:rPr>
          <w:i/>
        </w:rPr>
        <w:t xml:space="preserve">prospettiva </w:t>
      </w:r>
      <w:proofErr w:type="spellStart"/>
      <w:r w:rsidRPr="00562336">
        <w:rPr>
          <w:i/>
        </w:rPr>
        <w:t>inclusivista</w:t>
      </w:r>
      <w:proofErr w:type="spellEnd"/>
      <w:r>
        <w:t xml:space="preserve">. Non si tratta però di una presenza mitica, nelle diverse religioni, del </w:t>
      </w:r>
      <w:r w:rsidRPr="00736214">
        <w:rPr>
          <w:i/>
        </w:rPr>
        <w:t>Logos</w:t>
      </w:r>
      <w:r>
        <w:t xml:space="preserve"> che è Gesù o dell’amore di Dio che si incarna </w:t>
      </w:r>
      <w:r w:rsidRPr="00373EC6">
        <w:rPr>
          <w:i/>
        </w:rPr>
        <w:t>anche</w:t>
      </w:r>
      <w:r>
        <w:t xml:space="preserve"> in Gesù. Per comprendere questo contatto siamo rimandati piuttosto all’articolazione storico-salvifica concreta delle diverse religioni e quindi al problema della continuità nella discontinuità o dell’unità nella differenza nell’unica storia delle religioni. Il contributo irrinunciabile di questa prospettiva è l’articolazione del rapporto di Gesù con le religioni nel concreto tessuto storico scandito dalle alleanze in cui Dio cerca l’uomo e gli si fa incontro, realizzando un certo tipo di rapporto e quindi una certa grazia. Abbiamo così l’alleanza cosmica con Adamo prima e poi con Noè. Tale alleanza coglie il tipo di grazia inscritta nelle religioni cosmiche quali l’induismo o le religioni tradizionali africane. L’alleanza con Abramo invece realizza già un incontro personale nell’affidamento credente, che sarà ripreso</w:t>
      </w:r>
      <w:r w:rsidR="007D6D1E">
        <w:t xml:space="preserve"> dall’Islam. L’alleanza con Mosè</w:t>
      </w:r>
      <w:r>
        <w:t xml:space="preserve"> e Davide costituiscono la radice prossima del cristianesimo nell’ebraismo. In questa serie, la nuova alleanza in Gesù è la ripresa e la piena realizzazione del rapporto che Dio Padre voleva realizzare nella storia con ogni uomo fin dall’origine e quindi è il compimento del dono di Dio inscritto in ogni autentica esperienza religiosa. Il problema chiave di questo modello è il rapporto tra le alleanze. Non vanno giustapposte, messe una accanto all’altra come realtà autonome. C’è piuttosto una continuità nella discontinuità, una ripresa che mantiene la differenza. Ogni forma della relazione con Dio si realizza in un’alleanza precisa, che contiene una sua grazia, ripresa e rinnovata in ogni successiva alleanza, a partire dalla fedeltà di Dio che ricomincia a donarsi, nonostante il fallimento dell’uomo. In quest’ottica la sfida è quella di cogliere la logica di questa ripresa, per valutare adeguatamente la figura del compimento. Ma è proprio nella vicenda di Gesù che questa logica è svelata pienamente, perché pienamente realizzata. Lo sfondo è quello del dramma della relazione umano-divina, che si inscrive nel tempo nella misura in cui affida il donarsi di Dio alla riposta dell’uomo, ossia alla sua libera disposizione di sé di fronte all’alterità dell’iniziativa divina. Gesù si colloca in questo contesto storico-salvifico come la risposta compiuta dell’alleato, che si abbandona a Dio tanto quanto Dio si dona all’uomo, realizzando la piena corrispondenza. Qui si realizza e quindi si manifesta in tutta la sua ricchezza il dono che Dio vuole fare ad ogni uomo.</w:t>
      </w:r>
    </w:p>
    <w:p w:rsidR="00E35E98" w:rsidRDefault="00E35E98" w:rsidP="00E35E98">
      <w:pPr>
        <w:jc w:val="both"/>
      </w:pPr>
    </w:p>
    <w:p w:rsidR="00E35E98" w:rsidRDefault="00E35E98" w:rsidP="00E35E98">
      <w:pPr>
        <w:jc w:val="both"/>
      </w:pPr>
      <w:r w:rsidRPr="00474897">
        <w:rPr>
          <w:i/>
        </w:rPr>
        <w:t>Gesù tra le religioni</w:t>
      </w:r>
      <w:r>
        <w:t xml:space="preserve">. Si comprende meglio in questa direzione la scelta della </w:t>
      </w:r>
      <w:r w:rsidRPr="00D74104">
        <w:rPr>
          <w:i/>
        </w:rPr>
        <w:t>logica pluralista</w:t>
      </w:r>
      <w:r>
        <w:t xml:space="preserve"> e la sua ambiguità. Il pluralismo esclude l’esistenza di un’unica storia di salvezza, che articoli le diverse religioni in un’unica iniziativa divina. Bisogna invece cercare l’elemento comune alle varie religioni nella nozione astratta di </w:t>
      </w:r>
      <w:r w:rsidRPr="00D74104">
        <w:rPr>
          <w:i/>
        </w:rPr>
        <w:t>esperienza religiosa</w:t>
      </w:r>
      <w:r>
        <w:t xml:space="preserve">. Questa esperienza sarebbe come tale salvifica (ottimismo idealista) e quindi in sé valida, al di là delle forme concrete. In tale contesto Gesù si presenta come una delle possibili forme di esperienza religiosa, che è vera ed efficace nel suo ambito proprio, ma non imponibile ad altri. È qui che la singolarità di Gesù è risolta in un indeterminato antropologico, frammentato in una pluralità ingovernabile. Ciò che non appare chiaro è se esista una salvezza dell’uomo o solo esperienze liberanti, divinizzanti, esaltanti e quindi autentiche, senza alcun nesso tra loro e con l’umano comune. Manca qui un’articolazione storica </w:t>
      </w:r>
      <w:r>
        <w:lastRenderedPageBreak/>
        <w:t xml:space="preserve">concreta dei rapporti tra le religioni e un criterio di valutazione della realizzazione storica dell’esperienza religiosa. In un simile contesto è inevitabile che Cristo si perda tra le varie religioni come una possibile forma storica di un religioso informe e indeterminato. Il problema però più che cristologico, è antropologico o meglio religioso. C’è una coerente lettura dell’esperienza religiosa? Quale apporto potrebbe derivare ad essa dall’esperienza di Dio propria di Gesù? La sfida più interessante, di fronte a questo modello, è di ripensare la stessa esperienza religiosa in relazione al </w:t>
      </w:r>
      <w:r w:rsidRPr="004E00AA">
        <w:rPr>
          <w:i/>
        </w:rPr>
        <w:t>soggetto della fede</w:t>
      </w:r>
      <w:r>
        <w:t xml:space="preserve"> e quindi a quel luogo del credere che è la </w:t>
      </w:r>
      <w:proofErr w:type="spellStart"/>
      <w:r w:rsidRPr="00D616DD">
        <w:rPr>
          <w:i/>
        </w:rPr>
        <w:t>fides</w:t>
      </w:r>
      <w:proofErr w:type="spellEnd"/>
      <w:r w:rsidRPr="00D616DD">
        <w:rPr>
          <w:i/>
        </w:rPr>
        <w:t xml:space="preserve"> </w:t>
      </w:r>
      <w:proofErr w:type="spellStart"/>
      <w:r w:rsidRPr="00D616DD">
        <w:rPr>
          <w:i/>
        </w:rPr>
        <w:t>Jesu</w:t>
      </w:r>
      <w:proofErr w:type="spellEnd"/>
      <w:r>
        <w:t>, intesa come spazio esistenziale, storico-salvifico in cui si trova un nuovo accesso a Dio, più che un nuovo oggetto da credere. Si tratta insomma di chiarire che Gesù non si presenta solo o immediatamente sul versante dei simboli più o meno riusciti nell’attivare l’esperienza del divino. Gesù realizza piuttosto l’incontro, lo scambio, la comunicazione perfetta in cui l’iniziativa divina prende forma nella libertà umana e in essa si compie in modo definitivo. Gesù non sta sul versante dei possibili simboli religiosi. È la forma della libertà del soggetto che corrisponde pienamente al venire di Dio nella storia degli uomini.</w:t>
      </w:r>
    </w:p>
    <w:p w:rsidR="00E35E98" w:rsidRDefault="00E35E98" w:rsidP="00E35E98">
      <w:pPr>
        <w:ind w:right="113"/>
        <w:jc w:val="center"/>
        <w:rPr>
          <w:i/>
        </w:rPr>
      </w:pPr>
      <w:r>
        <w:br w:type="page"/>
      </w:r>
      <w:r w:rsidRPr="004320DC">
        <w:lastRenderedPageBreak/>
        <w:t xml:space="preserve">§ 1. </w:t>
      </w:r>
      <w:r w:rsidRPr="004320DC">
        <w:rPr>
          <w:i/>
        </w:rPr>
        <w:t>L’esclusivismo rivisitato: la problematica classica della «</w:t>
      </w:r>
      <w:proofErr w:type="spellStart"/>
      <w:r w:rsidRPr="004320DC">
        <w:rPr>
          <w:i/>
        </w:rPr>
        <w:t>salus</w:t>
      </w:r>
      <w:proofErr w:type="spellEnd"/>
      <w:r w:rsidRPr="004320DC">
        <w:rPr>
          <w:i/>
        </w:rPr>
        <w:t xml:space="preserve"> </w:t>
      </w:r>
      <w:proofErr w:type="spellStart"/>
      <w:r w:rsidRPr="004320DC">
        <w:rPr>
          <w:i/>
        </w:rPr>
        <w:t>infidelium</w:t>
      </w:r>
      <w:proofErr w:type="spellEnd"/>
      <w:r w:rsidRPr="004320DC">
        <w:rPr>
          <w:i/>
        </w:rPr>
        <w:t xml:space="preserve">» </w:t>
      </w:r>
    </w:p>
    <w:p w:rsidR="00E35E98" w:rsidRPr="004320DC" w:rsidRDefault="00E35E98" w:rsidP="00E35E98">
      <w:pPr>
        <w:ind w:right="113"/>
        <w:jc w:val="center"/>
      </w:pPr>
      <w:r w:rsidRPr="004320DC">
        <w:rPr>
          <w:i/>
        </w:rPr>
        <w:t>e la grazia della fede</w:t>
      </w:r>
    </w:p>
    <w:p w:rsidR="00E35E98" w:rsidRDefault="00E35E98" w:rsidP="00E35E98">
      <w:pPr>
        <w:pStyle w:val="Corpotesto"/>
        <w:rPr>
          <w:sz w:val="24"/>
          <w:szCs w:val="24"/>
        </w:rPr>
      </w:pPr>
    </w:p>
    <w:p w:rsidR="00E35E98" w:rsidRDefault="00E35E98" w:rsidP="00E35E98">
      <w:pPr>
        <w:jc w:val="both"/>
      </w:pPr>
      <w:r>
        <w:t xml:space="preserve">Affrontiamo la domanda sulla salvezza dei membri di altre religioni nel primo ambito delineato dalla ricerca sui modelli di teologia delle religioni. Si tratta di un sistema particolarmente attento alla differenza cristiana, alla novità “soprannaturale” dell’esperienza credente e quindi alla qualità nuova dell’atto di fede, colto nel suo contenuto specifico, ma soprattutto nella qualità del suo tendere all’oggetto proprio e nel suo termine (fine ultimo). La domanda diventa la seguente: quali contenuti supportano un vero atto di fede soprannaturale, capace di unire a Dio nella carità come l’atto di fede cristiano? Simili contenuti sono presenti in altre tradizioni religiose, così che si possa ipotizzare che una grazia, pur occasionale, sostenga l’atto di fede e quindi l’unione soprannaturale a Dio nella carità? Si deve trattare di contenuti “rivelati” da Dio e non di verità razionali, disponibili alla ricerca della retta ragione. Elemento costitutivo dell’atto di fede, </w:t>
      </w:r>
      <w:r w:rsidR="007D6D1E">
        <w:t>infatti</w:t>
      </w:r>
      <w:r>
        <w:t>, è l’assenso a ciò che Dio dice per l’autorità di Dio rivelante. Si intuisce subito come, dietro a simili considerazioni, vi sia una certa idea di rivelazione (nozionale, dogmatica, dall’alto) e quindi di fede. Si tratta comunque di una concezione di rivelazione che vuole mettere in luce la differenza specifica della conoscenza cristiana di Dio e che non può (anzi non deve assolutamente) essere ricondotta a una generica esperienza religiosa (errore modernista o indifferentista). Oltre alla centralità della fede, possiamo ricavare da tale ambito interessanti coordinate per costruire la domanda sulla salvezza nelle altre religioni a partire da ciò che è proprio della nostra fede.</w:t>
      </w:r>
    </w:p>
    <w:p w:rsidR="00E35E98" w:rsidRPr="00C173DD" w:rsidRDefault="00E35E98" w:rsidP="00E35E98">
      <w:pPr>
        <w:ind w:left="170" w:right="113"/>
        <w:jc w:val="both"/>
        <w:rPr>
          <w:sz w:val="22"/>
          <w:szCs w:val="22"/>
        </w:rPr>
      </w:pPr>
    </w:p>
    <w:p w:rsidR="00E35E98" w:rsidRPr="00C173DD" w:rsidRDefault="00E35E98" w:rsidP="00E35E98">
      <w:pPr>
        <w:pStyle w:val="Corpotesto"/>
        <w:ind w:left="170" w:right="113"/>
        <w:rPr>
          <w:szCs w:val="22"/>
        </w:rPr>
      </w:pPr>
      <w:r w:rsidRPr="00C173DD">
        <w:rPr>
          <w:szCs w:val="22"/>
        </w:rPr>
        <w:t xml:space="preserve">Per illuminare le coordinate fondamentali di questo primo modello e la sua logica ci affidiamo al famoso studio di </w:t>
      </w:r>
      <w:r w:rsidRPr="00C173DD">
        <w:rPr>
          <w:i/>
          <w:szCs w:val="22"/>
        </w:rPr>
        <w:t xml:space="preserve">L. </w:t>
      </w:r>
      <w:proofErr w:type="spellStart"/>
      <w:r w:rsidRPr="00C173DD">
        <w:rPr>
          <w:i/>
          <w:szCs w:val="22"/>
        </w:rPr>
        <w:t>Capéran</w:t>
      </w:r>
      <w:proofErr w:type="spellEnd"/>
      <w:r w:rsidRPr="00C173DD">
        <w:rPr>
          <w:szCs w:val="22"/>
        </w:rPr>
        <w:t xml:space="preserve"> sulla «Salvezza degli infedeli», nell’edizione del 1912</w:t>
      </w:r>
      <w:r w:rsidRPr="007B08E0">
        <w:rPr>
          <w:rStyle w:val="Rimandonotaapidipagina"/>
          <w:sz w:val="20"/>
        </w:rPr>
        <w:footnoteReference w:id="1"/>
      </w:r>
      <w:r w:rsidRPr="00C173DD">
        <w:rPr>
          <w:szCs w:val="22"/>
        </w:rPr>
        <w:t>. In estrema sintesi potremmo dire che interessa di questa posizione l’esigenza di chiarire gli ingredienti della relazione salvifica con Dio realizzata da Gesù Cristo nella sua Chiesa (fede soprannaturale) e garantita dalla grazia divina. Il fatto di cercare alcuni elementi di questa relazione in altre religioni, o almeno nella coscienza di altri uomini, aiuta a determinare l’azione della grazia in altre esperienze e quindi a riconoscere ciò che di valido c’è in esse, a partire dal proprio punto di vista. In tal senso viene in primo piano il problema di determinare quel “contenuto minimo” della conoscenza di Dio che permette l’atto di fede soprannaturale (c’è una conoscenza naturale di Dio che non propizia tale atto, a meno che non intervenga un aiuto speciale della grazia) e quindi la salvezza (poiché «senza la fede non è possibile piacere a Dio»). Il problema si riduce a chiarire quale conoscenza fonda una relazione (di carità) salvifica con Dio.</w:t>
      </w:r>
    </w:p>
    <w:p w:rsidR="00E35E98" w:rsidRDefault="00E35E98" w:rsidP="00E35E98">
      <w:pPr>
        <w:pStyle w:val="Corpotesto"/>
        <w:rPr>
          <w:sz w:val="24"/>
          <w:szCs w:val="24"/>
        </w:rPr>
      </w:pPr>
    </w:p>
    <w:p w:rsidR="00E35E98" w:rsidRDefault="00E35E98" w:rsidP="00E35E98">
      <w:pPr>
        <w:pStyle w:val="Corpotesto"/>
        <w:jc w:val="center"/>
        <w:rPr>
          <w:sz w:val="24"/>
          <w:szCs w:val="24"/>
        </w:rPr>
      </w:pPr>
      <w:r>
        <w:rPr>
          <w:sz w:val="24"/>
          <w:szCs w:val="24"/>
        </w:rPr>
        <w:t xml:space="preserve">1.1. </w:t>
      </w:r>
      <w:r w:rsidRPr="00206507">
        <w:rPr>
          <w:i/>
          <w:sz w:val="24"/>
          <w:szCs w:val="24"/>
        </w:rPr>
        <w:t xml:space="preserve">Un </w:t>
      </w:r>
      <w:r>
        <w:rPr>
          <w:i/>
          <w:sz w:val="24"/>
          <w:szCs w:val="24"/>
        </w:rPr>
        <w:t>giudizio affrettato</w:t>
      </w:r>
    </w:p>
    <w:p w:rsidR="00E35E98" w:rsidRDefault="00E35E98" w:rsidP="00E35E98">
      <w:pPr>
        <w:pStyle w:val="Corpotesto"/>
        <w:rPr>
          <w:sz w:val="24"/>
          <w:szCs w:val="24"/>
        </w:rPr>
      </w:pPr>
    </w:p>
    <w:p w:rsidR="00E35E98" w:rsidRPr="00BC6554" w:rsidRDefault="00E35E98" w:rsidP="00E35E98">
      <w:pPr>
        <w:pStyle w:val="Corpotesto"/>
        <w:rPr>
          <w:sz w:val="24"/>
          <w:szCs w:val="24"/>
        </w:rPr>
      </w:pPr>
      <w:r>
        <w:rPr>
          <w:sz w:val="24"/>
          <w:szCs w:val="24"/>
        </w:rPr>
        <w:t xml:space="preserve">Esponendo questo tipo di riflessione sulla </w:t>
      </w:r>
      <w:proofErr w:type="spellStart"/>
      <w:r w:rsidRPr="00206507">
        <w:rPr>
          <w:i/>
          <w:sz w:val="24"/>
          <w:szCs w:val="24"/>
        </w:rPr>
        <w:t>salus</w:t>
      </w:r>
      <w:proofErr w:type="spellEnd"/>
      <w:r w:rsidRPr="00206507">
        <w:rPr>
          <w:i/>
          <w:sz w:val="24"/>
          <w:szCs w:val="24"/>
        </w:rPr>
        <w:t xml:space="preserve"> </w:t>
      </w:r>
      <w:proofErr w:type="spellStart"/>
      <w:r w:rsidRPr="00206507">
        <w:rPr>
          <w:i/>
          <w:sz w:val="24"/>
          <w:szCs w:val="24"/>
        </w:rPr>
        <w:t>infidelium</w:t>
      </w:r>
      <w:proofErr w:type="spellEnd"/>
      <w:r>
        <w:rPr>
          <w:sz w:val="24"/>
          <w:szCs w:val="24"/>
        </w:rPr>
        <w:t xml:space="preserve">, J. </w:t>
      </w:r>
      <w:proofErr w:type="spellStart"/>
      <w:r>
        <w:rPr>
          <w:sz w:val="24"/>
          <w:szCs w:val="24"/>
        </w:rPr>
        <w:t>Dupuis</w:t>
      </w:r>
      <w:proofErr w:type="spellEnd"/>
      <w:r>
        <w:rPr>
          <w:sz w:val="24"/>
          <w:szCs w:val="24"/>
        </w:rPr>
        <w:t xml:space="preserve"> parla di una ricerca dei «surrogati del vangelo»:</w:t>
      </w:r>
    </w:p>
    <w:p w:rsidR="00E35E98" w:rsidRDefault="00E35E98" w:rsidP="00E35E98">
      <w:pPr>
        <w:ind w:left="170" w:right="113"/>
        <w:jc w:val="both"/>
        <w:rPr>
          <w:sz w:val="22"/>
        </w:rPr>
      </w:pPr>
    </w:p>
    <w:p w:rsidR="00E35E98" w:rsidRDefault="00E35E98" w:rsidP="00E35E98">
      <w:pPr>
        <w:ind w:left="170" w:right="113"/>
        <w:jc w:val="both"/>
        <w:rPr>
          <w:sz w:val="22"/>
        </w:rPr>
      </w:pPr>
      <w:r>
        <w:rPr>
          <w:sz w:val="22"/>
        </w:rPr>
        <w:t xml:space="preserve">Per ora possiamo osservare che alcuni dei presupposti su cui si basava l’antico assioma incominciarono a sollevare dei problemi già agli occhi di alcuni dei padri che comunque lo sostennero e lo conservarono. Fra le fragili radici dell’assioma vi era in primo luogo la presunzione di colpevolezza di tutte quelle singole persone, soprattutto “pagane”, che si trovavano al di fuori dell’arca di salvezza costituita dalla Chiesa a dispetto del fatto che, come si riteneva generalmente, il vangelo fosse stato adeguatamente “promulgato” al “mondo intero” esplicitamente conosciuto, e cioè sino ai confini di ciò che era allora “la cristianità”. Qualche esitazione su questo punto venne espressa, alla luce della loro situazione, già da alcuni padri. Fra costoro vi furono alcuni successori di S. Agostino, i quali tuttavia continuarono a conservare l’assioma, ricorrendo all’espediente di limitare l’universalità della volontà salvifica di Dio: egli non avrebbe potuto che negare la salvezza a coloro ai quali non aveva concesso la conoscenza ad essa necessaria, pur impartendo loro gli aiuti “generali” offerti a tutti ma insufficienti, di per sé, a condurre alla redenzione. Di questa mancanza dell’aiuto divino coloro che non erano salvati venivano resi, in un modo o nell’altro, responsabili. Questa soluzione disperata indeboliva considerevolmente l’universalità della volontà salvifica di Dio. Siccome però questa faceva parte del nocciolo della fede cristiana, è chiaro che </w:t>
      </w:r>
      <w:r>
        <w:rPr>
          <w:sz w:val="22"/>
        </w:rPr>
        <w:lastRenderedPageBreak/>
        <w:t xml:space="preserve">sarebbe stato necessario escogitare altre soluzioni… Fu così che, nel corso del Medioevo e oltre, vennero ad essere proposti alcuni “surrogati” della fede in Gesù Cristo e dell’appartenenza alla chiesa, alcuni dei quali sopravvissero fino al periodo di poco precedente al concilio Vaticano II… Si può dire che i modelli che capaci di portare ad una soluzione sono rappresentati dai vari modi di concepire la possibilità di una </w:t>
      </w:r>
      <w:r w:rsidRPr="003228B6">
        <w:rPr>
          <w:i/>
          <w:sz w:val="22"/>
        </w:rPr>
        <w:t>fede implicita</w:t>
      </w:r>
      <w:r>
        <w:rPr>
          <w:sz w:val="22"/>
        </w:rPr>
        <w:t xml:space="preserve"> in Gesù Cristo, implicante a sua volta un </w:t>
      </w:r>
      <w:proofErr w:type="spellStart"/>
      <w:r w:rsidRPr="003228B6">
        <w:rPr>
          <w:i/>
          <w:sz w:val="22"/>
        </w:rPr>
        <w:t>votum</w:t>
      </w:r>
      <w:proofErr w:type="spellEnd"/>
      <w:r w:rsidRPr="003228B6">
        <w:rPr>
          <w:i/>
          <w:sz w:val="22"/>
        </w:rPr>
        <w:t xml:space="preserve"> </w:t>
      </w:r>
      <w:proofErr w:type="spellStart"/>
      <w:r w:rsidRPr="003228B6">
        <w:rPr>
          <w:i/>
          <w:sz w:val="22"/>
        </w:rPr>
        <w:t>ecclesiae</w:t>
      </w:r>
      <w:proofErr w:type="spellEnd"/>
      <w:r>
        <w:rPr>
          <w:sz w:val="22"/>
        </w:rPr>
        <w:t>»</w:t>
      </w:r>
      <w:r w:rsidR="007D6D1E">
        <w:rPr>
          <w:rStyle w:val="Rimandonotaapidipagina"/>
          <w:sz w:val="22"/>
        </w:rPr>
        <w:footnoteReference w:id="2"/>
      </w:r>
      <w:r>
        <w:rPr>
          <w:sz w:val="22"/>
        </w:rPr>
        <w:t>.</w:t>
      </w:r>
    </w:p>
    <w:p w:rsidR="00E35E98" w:rsidRPr="00C17F9C" w:rsidRDefault="00E35E98" w:rsidP="00E35E98">
      <w:pPr>
        <w:ind w:left="170" w:right="113"/>
        <w:jc w:val="both"/>
        <w:rPr>
          <w:sz w:val="22"/>
        </w:rPr>
      </w:pPr>
    </w:p>
    <w:p w:rsidR="00E35E98" w:rsidRPr="00BC6554" w:rsidRDefault="00E35E98" w:rsidP="00E35E98">
      <w:pPr>
        <w:pStyle w:val="Corpotesto"/>
        <w:rPr>
          <w:sz w:val="24"/>
          <w:szCs w:val="24"/>
        </w:rPr>
      </w:pPr>
      <w:r>
        <w:rPr>
          <w:sz w:val="24"/>
          <w:szCs w:val="24"/>
        </w:rPr>
        <w:t xml:space="preserve">Questi </w:t>
      </w:r>
      <w:r w:rsidRPr="009F7F89">
        <w:rPr>
          <w:i/>
          <w:sz w:val="24"/>
          <w:szCs w:val="24"/>
        </w:rPr>
        <w:t>surrogati della fede</w:t>
      </w:r>
      <w:r>
        <w:rPr>
          <w:sz w:val="24"/>
          <w:szCs w:val="24"/>
        </w:rPr>
        <w:t xml:space="preserve"> vengono raccolti attorno alle seguenti teorie: l’evangelizzazione oltre la morte (1Pietro 3,18-20: ove si parla di un annuncio del vangelo agli spiriti che attendevano in prigione e che avevano un tempo rifiutato di credere); il Limbo (per i bambini) e la beatitudine naturale; l’intuizione di una fede implicita in Gesù; l’idea dell’opzione fondamentale al raggiungimento dell’età di ragione; la teologia dell’atto del morire. Di fatto si imporrà, dopo la scoperta del Nuovo Mondo, la teoria della fede implicita o quella dell’opzione fondamentale. Il Magistero, con l’idea del battesimo di desiderio e del </w:t>
      </w:r>
      <w:proofErr w:type="spellStart"/>
      <w:r w:rsidRPr="003562FE">
        <w:rPr>
          <w:i/>
          <w:sz w:val="24"/>
          <w:szCs w:val="24"/>
        </w:rPr>
        <w:t>votum</w:t>
      </w:r>
      <w:proofErr w:type="spellEnd"/>
      <w:r w:rsidRPr="003562FE">
        <w:rPr>
          <w:i/>
          <w:sz w:val="24"/>
          <w:szCs w:val="24"/>
        </w:rPr>
        <w:t xml:space="preserve"> </w:t>
      </w:r>
      <w:proofErr w:type="spellStart"/>
      <w:r w:rsidRPr="003562FE">
        <w:rPr>
          <w:i/>
          <w:sz w:val="24"/>
          <w:szCs w:val="24"/>
        </w:rPr>
        <w:t>ecclesiae</w:t>
      </w:r>
      <w:proofErr w:type="spellEnd"/>
      <w:r>
        <w:rPr>
          <w:sz w:val="24"/>
          <w:szCs w:val="24"/>
        </w:rPr>
        <w:t>, si attesterò nell’ambito della prima soluzione.</w:t>
      </w:r>
    </w:p>
    <w:p w:rsidR="00E35E98" w:rsidRDefault="00E35E98" w:rsidP="00E35E98">
      <w:pPr>
        <w:pStyle w:val="Corpotesto"/>
        <w:rPr>
          <w:sz w:val="24"/>
          <w:szCs w:val="24"/>
        </w:rPr>
      </w:pPr>
    </w:p>
    <w:p w:rsidR="00E35E98" w:rsidRPr="00C173DD" w:rsidRDefault="00E35E98" w:rsidP="00E35E98">
      <w:pPr>
        <w:pStyle w:val="Corpotesto"/>
        <w:jc w:val="center"/>
        <w:rPr>
          <w:sz w:val="24"/>
          <w:szCs w:val="24"/>
        </w:rPr>
      </w:pPr>
      <w:r>
        <w:rPr>
          <w:sz w:val="24"/>
          <w:szCs w:val="24"/>
        </w:rPr>
        <w:t>1.2</w:t>
      </w:r>
      <w:r w:rsidRPr="00C173DD">
        <w:rPr>
          <w:sz w:val="24"/>
          <w:szCs w:val="24"/>
        </w:rPr>
        <w:t xml:space="preserve">. La soluzione di </w:t>
      </w:r>
      <w:r w:rsidRPr="00F0116D">
        <w:rPr>
          <w:i/>
          <w:sz w:val="24"/>
          <w:szCs w:val="24"/>
        </w:rPr>
        <w:t xml:space="preserve">L. </w:t>
      </w:r>
      <w:proofErr w:type="spellStart"/>
      <w:r w:rsidRPr="00F0116D">
        <w:rPr>
          <w:i/>
          <w:sz w:val="24"/>
          <w:szCs w:val="24"/>
        </w:rPr>
        <w:t>Capéran</w:t>
      </w:r>
      <w:proofErr w:type="spellEnd"/>
    </w:p>
    <w:p w:rsidR="00E35E98" w:rsidRDefault="00E35E98" w:rsidP="00E35E98">
      <w:pPr>
        <w:pStyle w:val="Corpotesto"/>
        <w:rPr>
          <w:sz w:val="24"/>
          <w:szCs w:val="24"/>
        </w:rPr>
      </w:pPr>
    </w:p>
    <w:p w:rsidR="00E35E98" w:rsidRPr="00BC6554" w:rsidRDefault="00E35E98" w:rsidP="00E35E98">
      <w:pPr>
        <w:pStyle w:val="Corpotesto"/>
        <w:rPr>
          <w:sz w:val="24"/>
          <w:szCs w:val="24"/>
        </w:rPr>
      </w:pPr>
      <w:r>
        <w:rPr>
          <w:sz w:val="24"/>
          <w:szCs w:val="24"/>
        </w:rPr>
        <w:t>Possiamo considerare una sintesi equ</w:t>
      </w:r>
      <w:r w:rsidR="007543E4">
        <w:rPr>
          <w:sz w:val="24"/>
          <w:szCs w:val="24"/>
        </w:rPr>
        <w:t>i</w:t>
      </w:r>
      <w:r>
        <w:rPr>
          <w:sz w:val="24"/>
          <w:szCs w:val="24"/>
        </w:rPr>
        <w:t xml:space="preserve">librata della teologia della </w:t>
      </w:r>
      <w:r w:rsidRPr="00A75411">
        <w:rPr>
          <w:i/>
          <w:sz w:val="24"/>
          <w:szCs w:val="24"/>
        </w:rPr>
        <w:t>«</w:t>
      </w:r>
      <w:proofErr w:type="spellStart"/>
      <w:r w:rsidRPr="00A75411">
        <w:rPr>
          <w:i/>
          <w:sz w:val="24"/>
          <w:szCs w:val="24"/>
        </w:rPr>
        <w:t>salus</w:t>
      </w:r>
      <w:proofErr w:type="spellEnd"/>
      <w:r w:rsidRPr="00A75411">
        <w:rPr>
          <w:i/>
          <w:sz w:val="24"/>
          <w:szCs w:val="24"/>
        </w:rPr>
        <w:t xml:space="preserve"> </w:t>
      </w:r>
      <w:proofErr w:type="spellStart"/>
      <w:r w:rsidRPr="00A75411">
        <w:rPr>
          <w:i/>
          <w:sz w:val="24"/>
          <w:szCs w:val="24"/>
        </w:rPr>
        <w:t>infidelium</w:t>
      </w:r>
      <w:proofErr w:type="spellEnd"/>
      <w:r w:rsidRPr="00A75411">
        <w:rPr>
          <w:i/>
          <w:sz w:val="24"/>
          <w:szCs w:val="24"/>
        </w:rPr>
        <w:t>»</w:t>
      </w:r>
      <w:r>
        <w:rPr>
          <w:sz w:val="24"/>
          <w:szCs w:val="24"/>
        </w:rPr>
        <w:t xml:space="preserve"> la posizione di </w:t>
      </w:r>
      <w:proofErr w:type="spellStart"/>
      <w:r>
        <w:rPr>
          <w:sz w:val="24"/>
          <w:szCs w:val="24"/>
        </w:rPr>
        <w:t>Capéran</w:t>
      </w:r>
      <w:proofErr w:type="spellEnd"/>
      <w:r>
        <w:rPr>
          <w:sz w:val="24"/>
          <w:szCs w:val="24"/>
        </w:rPr>
        <w:t xml:space="preserve">, la cui proposta, in termini sintetici ma estremamente lucidi, è così </w:t>
      </w:r>
      <w:r w:rsidR="007543E4">
        <w:rPr>
          <w:sz w:val="24"/>
          <w:szCs w:val="24"/>
        </w:rPr>
        <w:t>riassumibile</w:t>
      </w:r>
      <w:r>
        <w:rPr>
          <w:sz w:val="24"/>
          <w:szCs w:val="24"/>
        </w:rPr>
        <w:t>:</w:t>
      </w:r>
    </w:p>
    <w:p w:rsidR="00E35E98" w:rsidRDefault="00E35E98" w:rsidP="00E35E98">
      <w:pPr>
        <w:ind w:left="170" w:right="113"/>
        <w:jc w:val="both"/>
        <w:rPr>
          <w:sz w:val="22"/>
        </w:rPr>
      </w:pPr>
    </w:p>
    <w:p w:rsidR="00E35E98" w:rsidRDefault="00E35E98" w:rsidP="00E35E98">
      <w:pPr>
        <w:ind w:left="170" w:right="113"/>
        <w:jc w:val="both"/>
        <w:rPr>
          <w:sz w:val="22"/>
        </w:rPr>
      </w:pPr>
      <w:r>
        <w:rPr>
          <w:sz w:val="22"/>
        </w:rPr>
        <w:t>Il minimo dell’adesione obiettiva richiesta è quello che formula la lettera agli Ebrei (11,6): credere nel Dio remuneratore. Perché tale fede sia salvifica deve essere accompagnata dalla carità. Questo minimo deve essere accessibile a ogni uomo (poiché, da un lato, è necessario di necessità di mezzo e, d’altro lato, Dio vuole che tutti gli uomini siano salvi e giungano alla conoscenza della verità, secondo 1Tm 2,4); è quanto di fatto propongono, al di fuori dei confini della Chiesa cattolica, le altre comunioni cristiane, il giudaismo, l’islamismo, e anche alcune false religioni, nelle quali però c’è un qualche rifle</w:t>
      </w:r>
      <w:r w:rsidR="007543E4">
        <w:rPr>
          <w:sz w:val="22"/>
        </w:rPr>
        <w:t>sso della rivelazione primitiva.</w:t>
      </w:r>
    </w:p>
    <w:p w:rsidR="00E35E98" w:rsidRDefault="00E35E98" w:rsidP="00E35E98">
      <w:pPr>
        <w:pStyle w:val="Corpotesto"/>
      </w:pPr>
    </w:p>
    <w:p w:rsidR="00E35E98" w:rsidRPr="00DF62F5" w:rsidRDefault="00E35E98" w:rsidP="00E35E98">
      <w:pPr>
        <w:pStyle w:val="Corpotesto"/>
        <w:rPr>
          <w:sz w:val="24"/>
          <w:szCs w:val="24"/>
        </w:rPr>
      </w:pPr>
      <w:r>
        <w:rPr>
          <w:sz w:val="24"/>
          <w:szCs w:val="24"/>
        </w:rPr>
        <w:t xml:space="preserve">La proposta di </w:t>
      </w:r>
      <w:proofErr w:type="spellStart"/>
      <w:r>
        <w:rPr>
          <w:sz w:val="24"/>
          <w:szCs w:val="24"/>
        </w:rPr>
        <w:t>Capéran</w:t>
      </w:r>
      <w:proofErr w:type="spellEnd"/>
      <w:r>
        <w:rPr>
          <w:sz w:val="24"/>
          <w:szCs w:val="24"/>
        </w:rPr>
        <w:t xml:space="preserve"> può essere ripresa nella sua logica di fondo attorno ai seguenti elementi.</w:t>
      </w:r>
    </w:p>
    <w:p w:rsidR="00E35E98" w:rsidRDefault="00E35E98" w:rsidP="00E35E98">
      <w:pPr>
        <w:ind w:left="170" w:right="113"/>
        <w:jc w:val="both"/>
        <w:rPr>
          <w:i/>
          <w:sz w:val="22"/>
        </w:rPr>
      </w:pPr>
    </w:p>
    <w:p w:rsidR="00E35E98" w:rsidRDefault="00E35E98" w:rsidP="00E35E98">
      <w:pPr>
        <w:ind w:left="170" w:right="113"/>
        <w:jc w:val="both"/>
        <w:rPr>
          <w:sz w:val="22"/>
        </w:rPr>
      </w:pPr>
      <w:r w:rsidRPr="000B4D7E">
        <w:rPr>
          <w:i/>
          <w:sz w:val="22"/>
        </w:rPr>
        <w:t>Il principio di fondo</w:t>
      </w:r>
      <w:r>
        <w:rPr>
          <w:sz w:val="22"/>
        </w:rPr>
        <w:t xml:space="preserve">. L’analisi delle possibili spiegazioni della salvezza degli infedeli ha portato ad escludere l’ipotesi di un annuncio universale del Vangelo agli Inferi o della destinazione della maggioranza degli uomini al Limbo. Occorre invece mantenere che gli infedeli hanno la grazia sufficiente, che non è negata a nessuno. Ciò vale sia prima della venuta di Cristo, sia dopo. Il motto </w:t>
      </w:r>
      <w:r w:rsidRPr="00B41D77">
        <w:rPr>
          <w:i/>
          <w:sz w:val="22"/>
        </w:rPr>
        <w:t xml:space="preserve">«facenti </w:t>
      </w:r>
      <w:proofErr w:type="spellStart"/>
      <w:r>
        <w:rPr>
          <w:i/>
          <w:sz w:val="22"/>
        </w:rPr>
        <w:t>quod</w:t>
      </w:r>
      <w:proofErr w:type="spellEnd"/>
      <w:r>
        <w:rPr>
          <w:i/>
          <w:sz w:val="22"/>
        </w:rPr>
        <w:t xml:space="preserve"> in</w:t>
      </w:r>
      <w:r w:rsidRPr="00B41D77">
        <w:rPr>
          <w:i/>
          <w:sz w:val="22"/>
        </w:rPr>
        <w:t xml:space="preserve"> </w:t>
      </w:r>
      <w:r>
        <w:rPr>
          <w:i/>
          <w:sz w:val="22"/>
        </w:rPr>
        <w:t>s</w:t>
      </w:r>
      <w:r w:rsidRPr="00B41D77">
        <w:rPr>
          <w:i/>
          <w:sz w:val="22"/>
        </w:rPr>
        <w:t xml:space="preserve">e est, Deus non </w:t>
      </w:r>
      <w:proofErr w:type="spellStart"/>
      <w:r w:rsidRPr="00B41D77">
        <w:rPr>
          <w:i/>
          <w:sz w:val="22"/>
        </w:rPr>
        <w:t>denegat</w:t>
      </w:r>
      <w:proofErr w:type="spellEnd"/>
      <w:r w:rsidRPr="00B41D77">
        <w:rPr>
          <w:i/>
          <w:sz w:val="22"/>
        </w:rPr>
        <w:t xml:space="preserve"> </w:t>
      </w:r>
      <w:proofErr w:type="spellStart"/>
      <w:r w:rsidRPr="00B41D77">
        <w:rPr>
          <w:i/>
          <w:sz w:val="22"/>
        </w:rPr>
        <w:t>gratiam</w:t>
      </w:r>
      <w:proofErr w:type="spellEnd"/>
      <w:r>
        <w:rPr>
          <w:i/>
          <w:sz w:val="22"/>
        </w:rPr>
        <w:t>»</w:t>
      </w:r>
      <w:r>
        <w:rPr>
          <w:sz w:val="22"/>
        </w:rPr>
        <w:t xml:space="preserve"> non va inteso nel senso che «a chi fa ciò che è in potere delle sue capacità naturali, Dio non tarda ad offrire l’aiuto che lo sostenga fino alla salvezza». Va inteso invece in un senso ancor più positivo, e cioè nel senso che Dio offre da subito la grazia sufficiente perché l’uomo possa fare ciò che è in suo potere (con l’aiuto appunto di Dio) e così realizzare la salvezza che Dio gli offre. In altri termini: non si deve dire «aiutati che il ciel ti aiuta», ma piuttosto «aiutati, perché è Dio che ti sta aiutando col sostegno della sua grazia, che non deve andar perduto». Ogni infedele di buona volontà può dunque, con l’aiuto di Dio, pervenire alla salvezza. E’ solo questa dottrina che armonizza bene i dati della rivelazione.</w:t>
      </w:r>
    </w:p>
    <w:p w:rsidR="00E35E98" w:rsidRDefault="00E35E98" w:rsidP="00E35E98">
      <w:pPr>
        <w:ind w:left="170" w:right="113"/>
        <w:jc w:val="both"/>
        <w:rPr>
          <w:i/>
          <w:sz w:val="22"/>
        </w:rPr>
      </w:pPr>
    </w:p>
    <w:p w:rsidR="00E35E98" w:rsidRDefault="00E35E98" w:rsidP="00E35E98">
      <w:pPr>
        <w:ind w:left="170" w:right="113"/>
        <w:jc w:val="both"/>
        <w:rPr>
          <w:sz w:val="22"/>
        </w:rPr>
      </w:pPr>
      <w:r w:rsidRPr="000B4D7E">
        <w:rPr>
          <w:i/>
          <w:sz w:val="22"/>
        </w:rPr>
        <w:t xml:space="preserve">La ratio </w:t>
      </w:r>
      <w:proofErr w:type="spellStart"/>
      <w:r w:rsidRPr="000B4D7E">
        <w:rPr>
          <w:i/>
          <w:sz w:val="22"/>
        </w:rPr>
        <w:t>formalis</w:t>
      </w:r>
      <w:proofErr w:type="spellEnd"/>
      <w:r w:rsidRPr="000B4D7E">
        <w:rPr>
          <w:i/>
          <w:sz w:val="22"/>
        </w:rPr>
        <w:t xml:space="preserve"> o motivo della vera fede</w:t>
      </w:r>
      <w:r>
        <w:rPr>
          <w:sz w:val="22"/>
        </w:rPr>
        <w:t xml:space="preserve">. Bisogna dunque conciliare questa possibilità di salvezza, offerta a tutti, con la necessità della fede («Senza la fede è impossibile piacere a Dio», Ebrei 11,6). Di questa fede si deve dire che non si può trattare di un vago sentimento religioso o di una qualche intuizione mistica passeggera. Si deve trattare di un vero e proprio assenso ad un minimo di verità connesse al mistero di Dio. Ne deriva il problema se la conoscenza di Dio legata alla testimonianza della natura e l’intuizione della sua Provvidenza siano sufficienti a fondare l’orientamento e il movimento dell’anima verso Dio quale fine ultimo soprannaturale e oggetto di beatitudine (ossia Dio quale termine di carità-amore soprannaturale). Ora, se è vero che la grazia sufficiente è data a tutti, ciò significa che la conoscenza naturale di Dio viene elevata proprio dalla grazia sufficiente, in modo che l’infedele possa donare tutta l’anima a Dio. Utilizzando, sotto l’influsso del lume soprannaturale della grazia, i mezzi </w:t>
      </w:r>
      <w:r>
        <w:rPr>
          <w:sz w:val="22"/>
        </w:rPr>
        <w:lastRenderedPageBreak/>
        <w:t xml:space="preserve">naturali di conoscenza, l’infedele può dunque giungere a una convinzione abbastanza forte della bontà provvidenziale di Dio, in modo da gettarsi tra le braccia della sua misericordia. Si realizza così la </w:t>
      </w:r>
      <w:r w:rsidRPr="00C70EF0">
        <w:rPr>
          <w:i/>
          <w:sz w:val="22"/>
        </w:rPr>
        <w:t xml:space="preserve">ratio </w:t>
      </w:r>
      <w:proofErr w:type="spellStart"/>
      <w:r w:rsidRPr="00C70EF0">
        <w:rPr>
          <w:i/>
          <w:sz w:val="22"/>
        </w:rPr>
        <w:t>formalis</w:t>
      </w:r>
      <w:proofErr w:type="spellEnd"/>
      <w:r>
        <w:rPr>
          <w:sz w:val="22"/>
        </w:rPr>
        <w:t xml:space="preserve"> o </w:t>
      </w:r>
      <w:r w:rsidRPr="00C70EF0">
        <w:rPr>
          <w:i/>
          <w:sz w:val="22"/>
        </w:rPr>
        <w:t>motivo della vera fede</w:t>
      </w:r>
      <w:r>
        <w:rPr>
          <w:sz w:val="22"/>
        </w:rPr>
        <w:t xml:space="preserve">: un affidamento a Dio al di sopra di ogni cosa e un </w:t>
      </w:r>
      <w:proofErr w:type="spellStart"/>
      <w:r>
        <w:rPr>
          <w:sz w:val="22"/>
        </w:rPr>
        <w:t>abbadono</w:t>
      </w:r>
      <w:proofErr w:type="spellEnd"/>
      <w:r>
        <w:rPr>
          <w:sz w:val="22"/>
        </w:rPr>
        <w:t xml:space="preserve"> alla sua misericordia, che è condizione necessaria per la giustificazione.</w:t>
      </w:r>
    </w:p>
    <w:p w:rsidR="00E35E98" w:rsidRDefault="00E35E98" w:rsidP="00E35E98">
      <w:pPr>
        <w:ind w:left="170" w:right="113"/>
        <w:jc w:val="both"/>
        <w:rPr>
          <w:i/>
          <w:sz w:val="22"/>
        </w:rPr>
      </w:pPr>
    </w:p>
    <w:p w:rsidR="00E35E98" w:rsidRDefault="00E35E98" w:rsidP="00E35E98">
      <w:pPr>
        <w:ind w:left="170" w:right="113"/>
        <w:jc w:val="both"/>
        <w:rPr>
          <w:sz w:val="22"/>
        </w:rPr>
      </w:pPr>
      <w:r w:rsidRPr="000B4D7E">
        <w:rPr>
          <w:i/>
          <w:sz w:val="22"/>
        </w:rPr>
        <w:t>Il contenuto minimo della fede</w:t>
      </w:r>
      <w:r>
        <w:rPr>
          <w:sz w:val="22"/>
        </w:rPr>
        <w:t>:</w:t>
      </w:r>
      <w:r w:rsidRPr="000B4D7E">
        <w:rPr>
          <w:i/>
          <w:sz w:val="22"/>
        </w:rPr>
        <w:t xml:space="preserve"> le verità </w:t>
      </w:r>
      <w:r>
        <w:rPr>
          <w:i/>
          <w:sz w:val="22"/>
        </w:rPr>
        <w:t>necessarie in cui credere</w:t>
      </w:r>
      <w:r>
        <w:rPr>
          <w:sz w:val="22"/>
        </w:rPr>
        <w:t xml:space="preserve">. Ma se anche l’infedele realizza il motivo della fede soprannaturale, conseguendo la giustificazione, la differenza dal credente battezzato si troverà sul versante delle verità di fede da credere. Secondo Ebrei 11,6 «si deve credere che Dio esiste e che ricompensa secondo giustizia coloro che lo cercano». Queste parole esprimono le due verità essenziali che ogni uomo deve conoscere come oggetto di fede, perché si accenda in lui il desiderio di conversione: l’esistenza di Dio e la sua remunerazione. E’ impossibile piacere a Dio senza andargli incontro in uno slancio di fede; è impossibile accostarsi a Lui se non si crede che esiste e che premia chi lo cerca. Ed è proprio </w:t>
      </w:r>
      <w:r w:rsidRPr="00454F87">
        <w:rPr>
          <w:i/>
          <w:sz w:val="22"/>
        </w:rPr>
        <w:t>la fede nella remunerazione futura</w:t>
      </w:r>
      <w:r>
        <w:rPr>
          <w:sz w:val="22"/>
        </w:rPr>
        <w:t xml:space="preserve"> il fattore che maggiormente stimola alla conversione dai peccati e all’invocazione della divina misericordia. L’infedele ha bisogno di capire che la rinuncia a sé non è impossibile e non resterà senza ricompensa. La considerazione filosofica delle perfezioni divine non stimola alla conversione e può lasciare al di fuori dell’economia della redenzione. Inoltre, nello stato soprannaturale in cui Dio ha creato l’uomo si deve realizzare tra il Creatore e la creatura un amore di amicizia, e l’amicizia suppone uno scambio di beni. L’atto di carità non appare possibile se Dio non si mostra come bontà infinita che vuole comunicarsi agli uomini in uno scambio di doni che culmina nel dono supremo di sé quale oggetto di vera beatitudine. L’infedele giunge alla giustificazione proprio mediante la fede nella remunerazione finale. Certo, l’infedele non ha la chiara percezione dell’intimità soprannaturale a cui lo chiama Dio, ma ne coltiva il desiderio come incontro col Dio che premia coi suoi doni il suo slancio verso il Donatore. Questa intuizione su Dio è elementare e non necessariamente argomentata filosoficamente. A questo contenuto minimo della fede (esistenza di Dio; premio finale) bisogna aggiungere la fede nel </w:t>
      </w:r>
      <w:r w:rsidRPr="00454F87">
        <w:rPr>
          <w:i/>
          <w:sz w:val="22"/>
        </w:rPr>
        <w:t>Mediatore</w:t>
      </w:r>
      <w:r>
        <w:rPr>
          <w:sz w:val="22"/>
        </w:rPr>
        <w:t xml:space="preserve"> (</w:t>
      </w:r>
      <w:r w:rsidRPr="00F9524F">
        <w:rPr>
          <w:i/>
          <w:sz w:val="22"/>
        </w:rPr>
        <w:t>Su</w:t>
      </w:r>
      <w:r>
        <w:rPr>
          <w:i/>
          <w:sz w:val="22"/>
        </w:rPr>
        <w:t>m</w:t>
      </w:r>
      <w:r w:rsidRPr="00F9524F">
        <w:rPr>
          <w:i/>
          <w:sz w:val="22"/>
        </w:rPr>
        <w:t xml:space="preserve">ma </w:t>
      </w:r>
      <w:proofErr w:type="spellStart"/>
      <w:r w:rsidRPr="00F9524F">
        <w:rPr>
          <w:i/>
          <w:sz w:val="22"/>
        </w:rPr>
        <w:t>Theologiae</w:t>
      </w:r>
      <w:proofErr w:type="spellEnd"/>
      <w:r w:rsidRPr="00F9524F">
        <w:rPr>
          <w:i/>
          <w:sz w:val="22"/>
        </w:rPr>
        <w:t xml:space="preserve"> II </w:t>
      </w:r>
      <w:proofErr w:type="spellStart"/>
      <w:r w:rsidRPr="00F9524F">
        <w:rPr>
          <w:i/>
          <w:sz w:val="22"/>
        </w:rPr>
        <w:t>II</w:t>
      </w:r>
      <w:proofErr w:type="spellEnd"/>
      <w:r>
        <w:rPr>
          <w:sz w:val="22"/>
        </w:rPr>
        <w:t xml:space="preserve">, q </w:t>
      </w:r>
      <w:smartTag w:uri="urn:schemas-microsoft-com:office:smarttags" w:element="metricconverter">
        <w:smartTagPr>
          <w:attr w:name="ProductID" w:val="2, a"/>
        </w:smartTagPr>
        <w:r>
          <w:rPr>
            <w:sz w:val="22"/>
          </w:rPr>
          <w:t>2, a</w:t>
        </w:r>
      </w:smartTag>
      <w:r>
        <w:rPr>
          <w:sz w:val="22"/>
        </w:rPr>
        <w:t xml:space="preserve"> 7) Oltre all’intuizione-desiderio della beatitudine fa parte della fede che salva l’affidarsi al mezzo che permette di conseguire tale fine ultimo. L’uomo non può giungere a salvezza senza credere in un modo o nell’altro alla redenzione operata dal Cristo mediatore… Confidando con tutto il cuore nella Provvidenza di Dio, l’uomo si affida ai mezzi che questa ha stabilito per la salvezza e così si inserisce nello spazio della loro azione. Poiché Dio vuole la salvezza di tutti gli uomini, le conoscenze indispensabili devono essere ridotte rigorosamente al minimo di verità indispensabili perché sia possibile l’amore (soprannaturale) di Dio. Ora, queste verità devono essere quelle minime ed elementari, sufficienti per la giustificazione. E la conoscenza minima riguarda l’esistenza di Dio, la speranza nella remunerazione finale e la fiducia nella provvidenza soprannaturale (in cui è inclusa la fede nel mediatore).</w:t>
      </w:r>
    </w:p>
    <w:p w:rsidR="00E35E98" w:rsidRDefault="00E35E98" w:rsidP="00E35E98">
      <w:pPr>
        <w:ind w:left="170" w:right="113"/>
        <w:jc w:val="both"/>
        <w:rPr>
          <w:i/>
          <w:sz w:val="22"/>
        </w:rPr>
      </w:pPr>
    </w:p>
    <w:p w:rsidR="00E35E98" w:rsidRPr="00443F76" w:rsidRDefault="00E35E98" w:rsidP="00E35E98">
      <w:pPr>
        <w:ind w:left="170" w:right="113"/>
        <w:jc w:val="both"/>
        <w:rPr>
          <w:sz w:val="22"/>
        </w:rPr>
      </w:pPr>
      <w:r>
        <w:rPr>
          <w:i/>
          <w:sz w:val="22"/>
        </w:rPr>
        <w:t>La</w:t>
      </w:r>
      <w:r w:rsidRPr="005D4335">
        <w:rPr>
          <w:i/>
          <w:sz w:val="22"/>
        </w:rPr>
        <w:t xml:space="preserve"> presenza delle verità di fede minim</w:t>
      </w:r>
      <w:r>
        <w:rPr>
          <w:i/>
          <w:sz w:val="22"/>
        </w:rPr>
        <w:t>ali</w:t>
      </w:r>
      <w:r w:rsidRPr="005D4335">
        <w:rPr>
          <w:i/>
          <w:sz w:val="22"/>
        </w:rPr>
        <w:t xml:space="preserve"> nelle </w:t>
      </w:r>
      <w:r>
        <w:rPr>
          <w:i/>
          <w:sz w:val="22"/>
        </w:rPr>
        <w:t xml:space="preserve">varie </w:t>
      </w:r>
      <w:r w:rsidRPr="005D4335">
        <w:rPr>
          <w:i/>
          <w:sz w:val="22"/>
        </w:rPr>
        <w:t>religioni: l’ipotesi della rivelazione primitiva e l’ispirazione interiore</w:t>
      </w:r>
      <w:r>
        <w:rPr>
          <w:sz w:val="22"/>
        </w:rPr>
        <w:t>. Avendo stabilito le verità minime che fondano un atto di fede che giustifica e quindi un amore di Dio adeguato alla conoscenza soprannaturale, si tratta di verificare se e come nelle “false religioni” siano rimaste tracce di questa conoscenza e quindi di questa fede. Per il giudaismo (legge mosaica) e per l’Islam (affidamento alla volontà di Dio) si può senza dubbio ammettere la presenza di tracce chiare delle verità minime indispensabili per l’atto di fede salvifico. Ma in linea di principio si può ammettere che anche nelle religioni più antiche siano rimaste tracce della rivelazione primitiva o originaria, legata alla creazione, il cui ricordo si è affievolito nel corso del tempo, ma non è mai del tutto scomparso. L’ipotesi, plausibile in storia delle religioni, è un fatto certo in teologia (creazione di Adamo e manifestazione di Dio): c’è un patrimonio di verità elementari di fede che è radicato nelle varie religioni in virtù di una rivelazione primitiva e che il peccato originale non ha potuto del tutto cancellare. Ma anche in quei contesti religiosi politeisti e pagani, in cui sembra che ogni traccia sana della rivelazione primitiva sia andata perduta, possiamo ipotizzare che un’ispirazione interiore di Dio possa sollevare la coscienza dalle bassezze della religione del gruppo e orientare verso la verità di Dio e quindi verso un atto di fede soprannaturale. Questo mezzo straordinario di grazia non deve apparire come miracoloso e stravagante, né raro o arduo, bensì naturalmente inscritto nel rapporto del Creatore con le sue creature.</w:t>
      </w:r>
    </w:p>
    <w:p w:rsidR="00E35E98" w:rsidRDefault="00E35E98" w:rsidP="00E35E98">
      <w:pPr>
        <w:jc w:val="both"/>
      </w:pPr>
    </w:p>
    <w:p w:rsidR="00E35E98" w:rsidRDefault="00E35E98" w:rsidP="00E35E98">
      <w:pPr>
        <w:pStyle w:val="Corpotesto"/>
        <w:jc w:val="center"/>
        <w:rPr>
          <w:sz w:val="24"/>
          <w:szCs w:val="24"/>
        </w:rPr>
      </w:pPr>
      <w:r>
        <w:rPr>
          <w:sz w:val="24"/>
          <w:szCs w:val="24"/>
        </w:rPr>
        <w:t xml:space="preserve">1.3. </w:t>
      </w:r>
      <w:r w:rsidRPr="00D462D3">
        <w:rPr>
          <w:i/>
          <w:sz w:val="24"/>
          <w:szCs w:val="24"/>
        </w:rPr>
        <w:t xml:space="preserve">Una </w:t>
      </w:r>
      <w:r>
        <w:rPr>
          <w:i/>
          <w:sz w:val="24"/>
          <w:szCs w:val="24"/>
        </w:rPr>
        <w:t>doverosa</w:t>
      </w:r>
      <w:r w:rsidRPr="00D462D3">
        <w:rPr>
          <w:i/>
          <w:sz w:val="24"/>
          <w:szCs w:val="24"/>
        </w:rPr>
        <w:t xml:space="preserve"> </w:t>
      </w:r>
      <w:r>
        <w:rPr>
          <w:i/>
          <w:sz w:val="24"/>
          <w:szCs w:val="24"/>
        </w:rPr>
        <w:t>verifica del senso</w:t>
      </w:r>
      <w:r w:rsidRPr="00D462D3">
        <w:rPr>
          <w:i/>
          <w:sz w:val="24"/>
          <w:szCs w:val="24"/>
        </w:rPr>
        <w:t xml:space="preserve"> dell’istanza </w:t>
      </w:r>
      <w:proofErr w:type="spellStart"/>
      <w:r w:rsidRPr="00D462D3">
        <w:rPr>
          <w:i/>
          <w:sz w:val="24"/>
          <w:szCs w:val="24"/>
        </w:rPr>
        <w:t>barthiana</w:t>
      </w:r>
      <w:proofErr w:type="spellEnd"/>
      <w:r w:rsidRPr="00D462D3">
        <w:rPr>
          <w:i/>
          <w:sz w:val="24"/>
          <w:szCs w:val="24"/>
        </w:rPr>
        <w:t>: fede o religione?</w:t>
      </w:r>
    </w:p>
    <w:p w:rsidR="00E35E98" w:rsidRDefault="00E35E98" w:rsidP="00E35E98">
      <w:pPr>
        <w:jc w:val="both"/>
        <w:rPr>
          <w:i/>
        </w:rPr>
      </w:pPr>
    </w:p>
    <w:p w:rsidR="00E35E98" w:rsidRDefault="00E35E98" w:rsidP="00E35E98">
      <w:pPr>
        <w:jc w:val="both"/>
      </w:pPr>
      <w:r>
        <w:t xml:space="preserve">Per leggere in tutta la sua ricchezza la posizione </w:t>
      </w:r>
      <w:proofErr w:type="spellStart"/>
      <w:r>
        <w:t>barthiana</w:t>
      </w:r>
      <w:proofErr w:type="spellEnd"/>
      <w:r>
        <w:t xml:space="preserve"> sulla questione delle altre religioni, bisognerebbe volgere lo sguardo al di là del ben noto § 17 della </w:t>
      </w:r>
      <w:proofErr w:type="spellStart"/>
      <w:r w:rsidRPr="009575C1">
        <w:rPr>
          <w:i/>
        </w:rPr>
        <w:t>Kirkliche</w:t>
      </w:r>
      <w:proofErr w:type="spellEnd"/>
      <w:r w:rsidRPr="009575C1">
        <w:rPr>
          <w:i/>
        </w:rPr>
        <w:t xml:space="preserve"> </w:t>
      </w:r>
      <w:proofErr w:type="spellStart"/>
      <w:r w:rsidRPr="009575C1">
        <w:rPr>
          <w:i/>
        </w:rPr>
        <w:t>Dogmatik</w:t>
      </w:r>
      <w:proofErr w:type="spellEnd"/>
      <w:r>
        <w:t xml:space="preserve"> I/2, intitolato </w:t>
      </w:r>
      <w:r>
        <w:lastRenderedPageBreak/>
        <w:t>significativamente: «La rivelazione di Dio come abolizione della religione»</w:t>
      </w:r>
      <w:r w:rsidRPr="007B08E0">
        <w:rPr>
          <w:rStyle w:val="Rimandonotaapidipagina"/>
          <w:sz w:val="20"/>
          <w:szCs w:val="20"/>
        </w:rPr>
        <w:footnoteReference w:id="3"/>
      </w:r>
      <w:r>
        <w:t xml:space="preserve">. In esso </w:t>
      </w:r>
      <w:proofErr w:type="spellStart"/>
      <w:r>
        <w:t>Barth</w:t>
      </w:r>
      <w:proofErr w:type="spellEnd"/>
      <w:r>
        <w:t xml:space="preserve"> reagisce all’idea propria della teologia liberale che vede nel cristianesimo il vertice dell’esperienza religiosa dell’umanità. Si potrebbero scoprire utili indicazioni sul nostro problema nel § 69.2 della </w:t>
      </w:r>
      <w:proofErr w:type="spellStart"/>
      <w:r w:rsidRPr="004D70A7">
        <w:rPr>
          <w:i/>
        </w:rPr>
        <w:t>Kirkliche</w:t>
      </w:r>
      <w:proofErr w:type="spellEnd"/>
      <w:r w:rsidRPr="004D70A7">
        <w:rPr>
          <w:i/>
        </w:rPr>
        <w:t xml:space="preserve"> </w:t>
      </w:r>
      <w:proofErr w:type="spellStart"/>
      <w:r w:rsidRPr="004D70A7">
        <w:rPr>
          <w:i/>
        </w:rPr>
        <w:t>Dogmatik</w:t>
      </w:r>
      <w:proofErr w:type="spellEnd"/>
      <w:r>
        <w:t xml:space="preserve"> IV/3, dedicato alle verità «extra </w:t>
      </w:r>
      <w:proofErr w:type="spellStart"/>
      <w:r>
        <w:t>muros</w:t>
      </w:r>
      <w:proofErr w:type="spellEnd"/>
      <w:r>
        <w:t xml:space="preserve"> </w:t>
      </w:r>
      <w:proofErr w:type="spellStart"/>
      <w:r>
        <w:t>ecclesiae</w:t>
      </w:r>
      <w:proofErr w:type="spellEnd"/>
      <w:r>
        <w:t>», pensate attraverso l’immagine delle parole (vere) rispetto alla Parola e/o delle luci (riflessi) rispetto alla Luce che illumina ogni uomo</w:t>
      </w:r>
      <w:r w:rsidRPr="00E47C01">
        <w:rPr>
          <w:rStyle w:val="Rimandonotaapidipagina"/>
          <w:sz w:val="20"/>
          <w:szCs w:val="20"/>
        </w:rPr>
        <w:footnoteReference w:id="4"/>
      </w:r>
      <w:r>
        <w:t xml:space="preserve">. </w:t>
      </w:r>
      <w:r w:rsidRPr="00D750A9">
        <w:rPr>
          <w:i/>
        </w:rPr>
        <w:t xml:space="preserve">P. </w:t>
      </w:r>
      <w:proofErr w:type="spellStart"/>
      <w:r w:rsidRPr="00D750A9">
        <w:rPr>
          <w:i/>
        </w:rPr>
        <w:t>Knitter</w:t>
      </w:r>
      <w:proofErr w:type="spellEnd"/>
      <w:r>
        <w:t xml:space="preserve"> conosce questo testo e in una breve nota segnala il problema interpretativo: «Successivamente, </w:t>
      </w:r>
      <w:proofErr w:type="spellStart"/>
      <w:r>
        <w:t>Barth</w:t>
      </w:r>
      <w:proofErr w:type="spellEnd"/>
      <w:r>
        <w:t xml:space="preserve"> arrivò a parlare di “altre parole ed altre luci al di fuori delle mura della Chiesa”. Ma furono le sue opinioni iniziali ad avere un’influenza tanto ampia sugli atteggiamenti protestanti nella seconda metà del secolo scorso. Inoltre, egli insistette sempre sul fatto che “le altre parole ed altre luci” non potrebbero essere viste o sentite senza Cristo»</w:t>
      </w:r>
      <w:r w:rsidRPr="00FD6564">
        <w:rPr>
          <w:rStyle w:val="Rimandonotaapidipagina"/>
          <w:sz w:val="20"/>
          <w:szCs w:val="20"/>
        </w:rPr>
        <w:footnoteReference w:id="5"/>
      </w:r>
      <w:r>
        <w:t xml:space="preserve">. </w:t>
      </w:r>
    </w:p>
    <w:p w:rsidR="00E35E98" w:rsidRDefault="00E35E98" w:rsidP="00E35E98">
      <w:pPr>
        <w:ind w:left="170" w:right="113"/>
        <w:jc w:val="both"/>
        <w:rPr>
          <w:sz w:val="22"/>
        </w:rPr>
      </w:pPr>
    </w:p>
    <w:p w:rsidR="00E35E98" w:rsidRDefault="00E35E98" w:rsidP="00E35E98">
      <w:pPr>
        <w:ind w:left="170" w:right="113"/>
        <w:jc w:val="both"/>
        <w:rPr>
          <w:sz w:val="22"/>
        </w:rPr>
      </w:pPr>
      <w:r>
        <w:rPr>
          <w:sz w:val="22"/>
        </w:rPr>
        <w:t xml:space="preserve">Il § 17 di K.D. I/2: </w:t>
      </w:r>
      <w:r w:rsidRPr="00D750A9">
        <w:rPr>
          <w:i/>
          <w:sz w:val="22"/>
        </w:rPr>
        <w:t xml:space="preserve">La rivelazione di Dio come </w:t>
      </w:r>
      <w:r>
        <w:rPr>
          <w:i/>
          <w:sz w:val="22"/>
        </w:rPr>
        <w:t>«</w:t>
      </w:r>
      <w:proofErr w:type="spellStart"/>
      <w:r w:rsidRPr="00D750A9">
        <w:rPr>
          <w:i/>
          <w:sz w:val="22"/>
        </w:rPr>
        <w:t>aufhebung</w:t>
      </w:r>
      <w:proofErr w:type="spellEnd"/>
      <w:r>
        <w:rPr>
          <w:i/>
          <w:sz w:val="22"/>
        </w:rPr>
        <w:t>»</w:t>
      </w:r>
      <w:r w:rsidRPr="00D750A9">
        <w:rPr>
          <w:i/>
          <w:sz w:val="22"/>
        </w:rPr>
        <w:t xml:space="preserve"> della religione</w:t>
      </w:r>
      <w:r w:rsidRPr="00ED7FA4">
        <w:rPr>
          <w:rStyle w:val="Rimandonotaapidipagina"/>
          <w:sz w:val="20"/>
          <w:szCs w:val="20"/>
        </w:rPr>
        <w:footnoteReference w:id="6"/>
      </w:r>
      <w:r>
        <w:rPr>
          <w:sz w:val="22"/>
        </w:rPr>
        <w:t xml:space="preserve">. Il famoso paragrafo sulla religione ha una struttura in tre tempi, distinguibili come tesi-antitesi-sintesi. La </w:t>
      </w:r>
      <w:r w:rsidRPr="002F306B">
        <w:rPr>
          <w:i/>
          <w:sz w:val="22"/>
        </w:rPr>
        <w:t>tesi</w:t>
      </w:r>
      <w:r>
        <w:rPr>
          <w:sz w:val="22"/>
        </w:rPr>
        <w:t xml:space="preserve">, svolta in 17.1, afferma che il cristianesimo è una religione, anzi la </w:t>
      </w:r>
      <w:r w:rsidRPr="002F306B">
        <w:rPr>
          <w:i/>
          <w:sz w:val="22"/>
        </w:rPr>
        <w:t>vera religione</w:t>
      </w:r>
      <w:r>
        <w:rPr>
          <w:sz w:val="22"/>
        </w:rPr>
        <w:t xml:space="preserve">. E’ quanto sostenevano la teologia liberale e l’apologetica protestante dell’epoca, sensibili all’affermazione della superiorità del cristianesimo rispetto alle altre religioni. Il cristianesimo in tale linea non solo è una specie particolare all’interno di un genere più vasto, ma è precisamente la specie in cui è raggiunto il massimo livello. Ma in 17.2 la polemica </w:t>
      </w:r>
      <w:proofErr w:type="spellStart"/>
      <w:r>
        <w:rPr>
          <w:sz w:val="22"/>
        </w:rPr>
        <w:t>barthiana</w:t>
      </w:r>
      <w:proofErr w:type="spellEnd"/>
      <w:r>
        <w:rPr>
          <w:sz w:val="22"/>
        </w:rPr>
        <w:t xml:space="preserve"> si accende in tutta la sua forza: </w:t>
      </w:r>
      <w:r w:rsidRPr="002F306B">
        <w:rPr>
          <w:i/>
          <w:sz w:val="22"/>
        </w:rPr>
        <w:t>ogni religione è incredulità</w:t>
      </w:r>
      <w:r>
        <w:rPr>
          <w:i/>
          <w:sz w:val="22"/>
        </w:rPr>
        <w:t xml:space="preserve"> </w:t>
      </w:r>
      <w:r>
        <w:rPr>
          <w:sz w:val="22"/>
        </w:rPr>
        <w:t xml:space="preserve">(antitesi). Religione e rivelazione non possono essere complementari, ma stanno in diretta opposizione: «La religione è incredulità. E’ una preoccupazione ed anzi, dobbiamo dire, l’unica grande preoccupazione dell’uomo senza Dio. […] Dal punto di vista della rivelazione, la religione è vista chiaramente come un tentativo umano di anticipare ciò che Dio nella sua rivelazione vuole fare e fa. E’ la tentata sostituzione dell’opera divina con un manufatto umano. La realtà divina che ci è offerta e manifestata nella rivelazione è rimpiazzata da un concetto di Dio sviluppato arbitrariamente e deliberatamente dall’uomo». La religione è dunque identificata con il tentativo umano di concepire Dio e di riconciliarsi con lui a partire dai propri sforzi. La rivelazione, invece, dice l’auto-manifestarsi e l’offerta di sé che Dio stesso fa all’uomo. La </w:t>
      </w:r>
      <w:r w:rsidRPr="002F306B">
        <w:rPr>
          <w:i/>
          <w:sz w:val="22"/>
        </w:rPr>
        <w:t>sintesi</w:t>
      </w:r>
      <w:r>
        <w:rPr>
          <w:sz w:val="22"/>
        </w:rPr>
        <w:t xml:space="preserve"> di questa dialettica, ossia l’</w:t>
      </w:r>
      <w:proofErr w:type="spellStart"/>
      <w:r w:rsidRPr="002F306B">
        <w:rPr>
          <w:i/>
          <w:sz w:val="22"/>
        </w:rPr>
        <w:t>aufhebung</w:t>
      </w:r>
      <w:proofErr w:type="spellEnd"/>
      <w:r>
        <w:rPr>
          <w:sz w:val="22"/>
        </w:rPr>
        <w:t xml:space="preserve">, è realizzata in 17.3: in virtù della rivelazione e quindi grazie alla creazione, elezione, giustificazione e santificazione che Dio opera, il cristianesimo è liberato dall’incredulità e diventa la vera religione. Si noti che una religione può essere riconosciuta come vera solo allo stesso modo con cui il peccatore è dichiarato giusto. Ciò significa che nessuna religione è vera in sé e per sé, in quanto religione. Ma la religione, come il peccatore giustificato, può divenire vera nel senso di un avvenimento, di un evento salvifico che avviene dal di fuori, in virtù della rivelazione divina. Questa rivelazione è l’unica realtà vera, di fronte alla quale ogni altra è menzogna ed errore. La “vera religione” è un’opera della grazia. La grazia è precisamente l’opera della rivelazione. Ora, la grazia che è la rivelazione svela l’uomo peccatore e quindi la religione come menzogna. La stessa grazia, che è capace nel caso del peccatore, di risuscitare dai morti, è in grado di risuscitare nella religione dell’errore e della menzogna la religione vera, in cui l’uomo conosce il vero Dio ed è riconciliato con lui. Il cristianesimo, dunque, è la vera religione perché non è più una religione, ma il grembo in cui è accolta la forza della rivelazione, cioè la grazia. La luce della rivelazione funziona qui come la luce del sole che illumina una parte della terra, lasciando in ombra le altre parti. Questa “sentenza dura” sulle religioni va però riletta alla luce del contesto. Nel paragrafo § 16 </w:t>
      </w:r>
      <w:proofErr w:type="spellStart"/>
      <w:r>
        <w:rPr>
          <w:sz w:val="22"/>
        </w:rPr>
        <w:t>Barth</w:t>
      </w:r>
      <w:proofErr w:type="spellEnd"/>
      <w:r>
        <w:rPr>
          <w:sz w:val="22"/>
        </w:rPr>
        <w:t xml:space="preserve"> sta mettendo in luce come la ricezione della rivelazione avvenga in una comunità concreta, in una storia visibile: Israele prima e poi </w:t>
      </w:r>
      <w:smartTag w:uri="urn:schemas-microsoft-com:office:smarttags" w:element="PersonName">
        <w:smartTagPr>
          <w:attr w:name="ProductID" w:val="la Chiesa. Rivelazione"/>
        </w:smartTagPr>
        <w:smartTag w:uri="urn:schemas-microsoft-com:office:smarttags" w:element="PersonName">
          <w:smartTagPr>
            <w:attr w:name="ProductID" w:val="la Chiesa."/>
          </w:smartTagPr>
          <w:r>
            <w:rPr>
              <w:sz w:val="22"/>
            </w:rPr>
            <w:t>la Chiesa.</w:t>
          </w:r>
        </w:smartTag>
        <w:r>
          <w:rPr>
            <w:sz w:val="22"/>
          </w:rPr>
          <w:t xml:space="preserve"> Rivelazione</w:t>
        </w:r>
      </w:smartTag>
      <w:r>
        <w:rPr>
          <w:sz w:val="22"/>
        </w:rPr>
        <w:t xml:space="preserve"> indica sempre la grazia di Dio e anche a risposta dell’uomo. Ma ora questo discorso viene come interrotto, per essere ripreso solo in § 18, per precisare come Dio non sia legato a questa comunità storica visibile. Come nell’AT vi furono molti uomini al di fuori del popolo eletto che realizzarono un genuino ascolto della rivelazione di Dio, udendo la sua parola e obbedendo, così nel NT ci sono inattesi confessori della messianicità di Israele/Gesù. Non esiste dunque un nesso inscindibile tra ricezione della rivelazione e appartenenza alla comunità. Questo tema riemerge in § 18.1 dove </w:t>
      </w:r>
      <w:proofErr w:type="spellStart"/>
      <w:r>
        <w:rPr>
          <w:sz w:val="22"/>
        </w:rPr>
        <w:t>Barth</w:t>
      </w:r>
      <w:proofErr w:type="spellEnd"/>
      <w:r>
        <w:rPr>
          <w:sz w:val="22"/>
        </w:rPr>
        <w:t xml:space="preserve"> tratta dell’uomo in </w:t>
      </w:r>
      <w:r>
        <w:rPr>
          <w:sz w:val="22"/>
        </w:rPr>
        <w:lastRenderedPageBreak/>
        <w:t xml:space="preserve">quanto uditore attivo, cioè capace di ascoltare, riconoscere e confessare la rivelazione. Questa sezione riprende e completa la parte pneumatologica in cui, dopo aver studiato il soggetto della rivelazione (Padre) e il contenuto (Figlio), viene analizzato l’effetto della rivelazione, ossia il suo accadere nello Spirito e come Spirito. In questo contesto pneumatologico, </w:t>
      </w:r>
      <w:proofErr w:type="spellStart"/>
      <w:r>
        <w:rPr>
          <w:sz w:val="22"/>
        </w:rPr>
        <w:t>Barth</w:t>
      </w:r>
      <w:proofErr w:type="spellEnd"/>
      <w:r>
        <w:rPr>
          <w:sz w:val="22"/>
        </w:rPr>
        <w:t xml:space="preserve"> chiarisce che tale effetto non è garantito dalla religione, ma avviene in essa, fino a trasformarla. Ne deriva che la comunità può scoprire molti «vicini» nella sua esperienza della rivelazione in persone insospettabili, che pur non portando alcun segno ecclesiale, sono uditrici attive della Parola. E’ quanto insegnano le vicende di </w:t>
      </w:r>
      <w:proofErr w:type="spellStart"/>
      <w:r>
        <w:rPr>
          <w:sz w:val="22"/>
        </w:rPr>
        <w:t>Balaam</w:t>
      </w:r>
      <w:proofErr w:type="spellEnd"/>
      <w:r>
        <w:rPr>
          <w:sz w:val="22"/>
        </w:rPr>
        <w:t xml:space="preserve">, </w:t>
      </w:r>
      <w:proofErr w:type="spellStart"/>
      <w:r>
        <w:rPr>
          <w:sz w:val="22"/>
        </w:rPr>
        <w:t>Rahab</w:t>
      </w:r>
      <w:proofErr w:type="spellEnd"/>
      <w:r>
        <w:rPr>
          <w:sz w:val="22"/>
        </w:rPr>
        <w:t xml:space="preserve">, Ruth, la regina di Saba, </w:t>
      </w:r>
      <w:proofErr w:type="spellStart"/>
      <w:r>
        <w:rPr>
          <w:sz w:val="22"/>
        </w:rPr>
        <w:t>Naaman</w:t>
      </w:r>
      <w:proofErr w:type="spellEnd"/>
      <w:r>
        <w:rPr>
          <w:sz w:val="22"/>
        </w:rPr>
        <w:t xml:space="preserve">, Ciro, la donna siro-fenicia, Cornelio. Si tratta di stranieri che, dalle regioni più distanti, compaiono nel cerchio ristretto dell’elezione quali testimoni della rivelazione. Certo, si tratta di una testimonianza complementare e non originaria, ma è pur sempre un’attestazione in cui </w:t>
      </w:r>
      <w:smartTag w:uri="urn:schemas-microsoft-com:office:smarttags" w:element="PersonName">
        <w:smartTagPr>
          <w:attr w:name="ProductID" w:val="la Chiesa"/>
        </w:smartTagPr>
        <w:r>
          <w:rPr>
            <w:sz w:val="22"/>
          </w:rPr>
          <w:t>la Chiesa</w:t>
        </w:r>
      </w:smartTag>
      <w:r>
        <w:rPr>
          <w:sz w:val="22"/>
        </w:rPr>
        <w:t xml:space="preserve"> si sente rivolta una parola che le insegna ad udire la rivelazione sotto aspetti nuovi o inattesi. Questi testimoni realizzano un’attestazione che si rivolge alla Chiesa e la interpella, poiché non sempre si tratta di cose che </w:t>
      </w:r>
      <w:smartTag w:uri="urn:schemas-microsoft-com:office:smarttags" w:element="PersonName">
        <w:smartTagPr>
          <w:attr w:name="ProductID" w:val="la Chiesa"/>
        </w:smartTagPr>
        <w:r>
          <w:rPr>
            <w:sz w:val="22"/>
          </w:rPr>
          <w:t>la Chiesa</w:t>
        </w:r>
      </w:smartTag>
      <w:r>
        <w:rPr>
          <w:sz w:val="22"/>
        </w:rPr>
        <w:t xml:space="preserve"> già sa di Dio e della sua rivelazione. </w:t>
      </w:r>
    </w:p>
    <w:p w:rsidR="00E35E98" w:rsidRDefault="00E35E98" w:rsidP="00E35E98">
      <w:pPr>
        <w:ind w:left="170" w:right="113"/>
        <w:jc w:val="both"/>
        <w:rPr>
          <w:sz w:val="22"/>
        </w:rPr>
      </w:pPr>
    </w:p>
    <w:p w:rsidR="00E35E98" w:rsidRDefault="007543E4" w:rsidP="00E35E98">
      <w:pPr>
        <w:ind w:left="170" w:right="113"/>
        <w:jc w:val="both"/>
        <w:rPr>
          <w:sz w:val="22"/>
        </w:rPr>
      </w:pPr>
      <w:r>
        <w:rPr>
          <w:sz w:val="22"/>
        </w:rPr>
        <w:t>É</w:t>
      </w:r>
      <w:r w:rsidR="00E35E98">
        <w:rPr>
          <w:sz w:val="22"/>
        </w:rPr>
        <w:t xml:space="preserve"> a partire da questa intuizione che conviene riprendere il § 69.2 sulla luce di vita che è Cristo e i riflessi di verità </w:t>
      </w:r>
      <w:r w:rsidR="00E35E98" w:rsidRPr="004C3274">
        <w:rPr>
          <w:i/>
          <w:sz w:val="22"/>
        </w:rPr>
        <w:t xml:space="preserve">«extra </w:t>
      </w:r>
      <w:proofErr w:type="spellStart"/>
      <w:r w:rsidR="00E35E98" w:rsidRPr="004C3274">
        <w:rPr>
          <w:i/>
          <w:sz w:val="22"/>
        </w:rPr>
        <w:t>muros</w:t>
      </w:r>
      <w:proofErr w:type="spellEnd"/>
      <w:r w:rsidR="00E35E98" w:rsidRPr="004C3274">
        <w:rPr>
          <w:i/>
          <w:sz w:val="22"/>
        </w:rPr>
        <w:t xml:space="preserve"> </w:t>
      </w:r>
      <w:proofErr w:type="spellStart"/>
      <w:r w:rsidR="00E35E98" w:rsidRPr="004C3274">
        <w:rPr>
          <w:i/>
          <w:sz w:val="22"/>
        </w:rPr>
        <w:t>ecclesiae</w:t>
      </w:r>
      <w:proofErr w:type="spellEnd"/>
      <w:r w:rsidR="00E35E98" w:rsidRPr="004C3274">
        <w:rPr>
          <w:i/>
          <w:sz w:val="22"/>
        </w:rPr>
        <w:t>»</w:t>
      </w:r>
      <w:r w:rsidR="00E35E98">
        <w:rPr>
          <w:sz w:val="22"/>
        </w:rPr>
        <w:t xml:space="preserve">. Siamo nell’ambito della dottrina sulla redenzione, intesa come riconciliazione e precisamente nella parte dedicata al </w:t>
      </w:r>
      <w:proofErr w:type="spellStart"/>
      <w:r w:rsidR="00E35E98" w:rsidRPr="004C3274">
        <w:rPr>
          <w:i/>
          <w:sz w:val="22"/>
        </w:rPr>
        <w:t>munus</w:t>
      </w:r>
      <w:proofErr w:type="spellEnd"/>
      <w:r w:rsidR="00E35E98">
        <w:rPr>
          <w:sz w:val="22"/>
        </w:rPr>
        <w:t xml:space="preserve"> profetico di Gesù, cioè alla riconciliazione in quanto rivelazione, alla salvezza in quanto profezia, luce che illumina e si comunica. Che vi siano luci o riflessi è affermato sia nella sezione cristologia, dove si tratta di parole vere in relazione all’unica Parola, sia nella parte sulla creazione, che parla di luci vere in relazione alla Luce della vita. </w:t>
      </w:r>
    </w:p>
    <w:p w:rsidR="00E35E98" w:rsidRDefault="00E35E98" w:rsidP="00E35E98">
      <w:pPr>
        <w:ind w:left="170" w:right="113"/>
        <w:jc w:val="both"/>
        <w:rPr>
          <w:i/>
          <w:sz w:val="22"/>
        </w:rPr>
      </w:pPr>
    </w:p>
    <w:p w:rsidR="00E35E98" w:rsidRDefault="00E35E98" w:rsidP="00E35E98">
      <w:pPr>
        <w:ind w:left="170" w:right="113"/>
        <w:jc w:val="both"/>
        <w:rPr>
          <w:sz w:val="22"/>
        </w:rPr>
      </w:pPr>
      <w:r>
        <w:rPr>
          <w:i/>
          <w:sz w:val="22"/>
        </w:rPr>
        <w:t>(a</w:t>
      </w:r>
      <w:r w:rsidRPr="00FB372F">
        <w:rPr>
          <w:i/>
          <w:sz w:val="22"/>
        </w:rPr>
        <w:t xml:space="preserve">) </w:t>
      </w:r>
      <w:smartTag w:uri="urn:schemas-microsoft-com:office:smarttags" w:element="PersonName">
        <w:smartTagPr>
          <w:attr w:name="ProductID" w:val="la Parola"/>
        </w:smartTagPr>
        <w:r w:rsidRPr="00FB372F">
          <w:rPr>
            <w:i/>
            <w:sz w:val="22"/>
          </w:rPr>
          <w:t>La Parola</w:t>
        </w:r>
      </w:smartTag>
      <w:r w:rsidRPr="00FB372F">
        <w:rPr>
          <w:i/>
          <w:sz w:val="22"/>
        </w:rPr>
        <w:t xml:space="preserve"> vera e le parole</w:t>
      </w:r>
      <w:r>
        <w:rPr>
          <w:sz w:val="22"/>
        </w:rPr>
        <w:t xml:space="preserve">. Nel </w:t>
      </w:r>
      <w:proofErr w:type="spellStart"/>
      <w:r w:rsidRPr="00516BF8">
        <w:rPr>
          <w:i/>
          <w:sz w:val="22"/>
        </w:rPr>
        <w:t>munus</w:t>
      </w:r>
      <w:proofErr w:type="spellEnd"/>
      <w:r>
        <w:rPr>
          <w:sz w:val="22"/>
        </w:rPr>
        <w:t xml:space="preserve"> profetico emerge il carattere di rivelazione della riconciliazione. Non si tratta di segni o opere valide per se stesse che attestano l’avvenuta riconciliazione in modo umanamente apprezzabile. Gesù Cristo resta al centro in quanto autentico testimone di se stesso. E’ lui stesso che rende riconoscibile il suo mistero e lo certifica: «Gesù Cristo, in quanto centro attestato dalle Scritture, è l’unica Parola che possiamo sentire e di cui ci possiamo fidare». Questa funzione profetica esclusiva non elimina ma delimita ciò che deve essere saputo attraverso altri profeti, maestri, testimoni della verità. Così è possibile che vi siano altre parole umane che sono buone perché sono dette su incarico e a servizio di Dio. L’unica Parola di Dio può far uso, in certe circostanze, di alcuni uomini, rendendoli testimoni di sé e portandoli a confessare in modo tale la sua verità, che ascoltarli significa ascoltare </w:t>
      </w:r>
      <w:smartTag w:uri="urn:schemas-microsoft-com:office:smarttags" w:element="PersonName">
        <w:smartTagPr>
          <w:attr w:name="ProductID" w:val="la Parola. Si"/>
        </w:smartTagPr>
        <w:smartTag w:uri="urn:schemas-microsoft-com:office:smarttags" w:element="PersonName">
          <w:smartTagPr>
            <w:attr w:name="ProductID" w:val="la Parola."/>
          </w:smartTagPr>
          <w:r>
            <w:rPr>
              <w:sz w:val="22"/>
            </w:rPr>
            <w:t>la Parola.</w:t>
          </w:r>
        </w:smartTag>
        <w:r>
          <w:rPr>
            <w:sz w:val="22"/>
          </w:rPr>
          <w:t xml:space="preserve"> Si</w:t>
        </w:r>
      </w:smartTag>
      <w:r>
        <w:rPr>
          <w:sz w:val="22"/>
        </w:rPr>
        <w:t xml:space="preserve"> tratta di altre parabole del Regno che viene, di segmenti della periferia, che rimandano all’unico centro che è </w:t>
      </w:r>
      <w:smartTag w:uri="urn:schemas-microsoft-com:office:smarttags" w:element="PersonName">
        <w:smartTagPr>
          <w:attr w:name="ProductID" w:val="la Parola. Si"/>
        </w:smartTagPr>
        <w:smartTag w:uri="urn:schemas-microsoft-com:office:smarttags" w:element="PersonName">
          <w:smartTagPr>
            <w:attr w:name="ProductID" w:val="la Parola."/>
          </w:smartTagPr>
          <w:r>
            <w:rPr>
              <w:sz w:val="22"/>
            </w:rPr>
            <w:t>la Parola.</w:t>
          </w:r>
        </w:smartTag>
        <w:r>
          <w:rPr>
            <w:sz w:val="22"/>
          </w:rPr>
          <w:t xml:space="preserve"> Si</w:t>
        </w:r>
      </w:smartTag>
      <w:r>
        <w:rPr>
          <w:sz w:val="22"/>
        </w:rPr>
        <w:t xml:space="preserve"> noti che </w:t>
      </w:r>
      <w:smartTag w:uri="urn:schemas-microsoft-com:office:smarttags" w:element="PersonName">
        <w:smartTagPr>
          <w:attr w:name="ProductID" w:val="la Parola"/>
        </w:smartTagPr>
        <w:r>
          <w:rPr>
            <w:sz w:val="22"/>
          </w:rPr>
          <w:t>la Parola</w:t>
        </w:r>
      </w:smartTag>
      <w:r>
        <w:rPr>
          <w:sz w:val="22"/>
        </w:rPr>
        <w:t xml:space="preserve"> non è solo al centro, ma parla anche alla periferia, benché attraverso queste altre parole. L’importante è che in esse sia sempre Lui a parlare (dalla periferia e non dal centro, benché sempre in direzione del centro). Quindi queste parole non dicono verità parziali. La verità è una, unica e indivisibile. </w:t>
      </w:r>
      <w:r w:rsidRPr="00541A0A">
        <w:rPr>
          <w:i/>
          <w:sz w:val="22"/>
        </w:rPr>
        <w:t>Esse esprimono l’unica verità totale, ma da un angolo particolare, con un estensione che è solo implicitamente e non esplicitamente quella totale</w:t>
      </w:r>
      <w:r>
        <w:rPr>
          <w:sz w:val="22"/>
        </w:rPr>
        <w:t xml:space="preserve">. Giungiamo così a parole non contenute nella Scrittura né proclamate nella Chiesa, che però sono parole vere nel loro lasciar parlare l’unica Parola e quindi sono da ascoltare come e insieme a questa Parola. In concreto ciò significa che </w:t>
      </w:r>
      <w:smartTag w:uri="urn:schemas-microsoft-com:office:smarttags" w:element="PersonName">
        <w:smartTagPr>
          <w:attr w:name="ProductID" w:val="la Chiesa"/>
        </w:smartTagPr>
        <w:r>
          <w:rPr>
            <w:sz w:val="22"/>
          </w:rPr>
          <w:t>la Chiesa</w:t>
        </w:r>
      </w:smartTag>
      <w:r>
        <w:rPr>
          <w:sz w:val="22"/>
        </w:rPr>
        <w:t xml:space="preserve"> deve restare pronta ad ascoltare parabole del Regno anche al di fuori dei suoi confini. </w:t>
      </w:r>
      <w:proofErr w:type="spellStart"/>
      <w:r>
        <w:rPr>
          <w:sz w:val="22"/>
        </w:rPr>
        <w:t>Barth</w:t>
      </w:r>
      <w:proofErr w:type="spellEnd"/>
      <w:r>
        <w:rPr>
          <w:sz w:val="22"/>
        </w:rPr>
        <w:t xml:space="preserve"> esemplifica tali parole inscritte nei comportamenti umani di liberazione dall’oppressione, in forme di speranza che vincono la disperazione o in esperienze di comunione che superano divisioni. Proprio in quanto realizzano tali cose, esse sono occasioni in cui la grazia e il giudizio di Dio sono abbozzati nelle linee generali. Fanno ciò, perché sono libere comunicazioni di Gesù Cristo in parole-evento. Siamo in quegli spazi in cui Dio lascia agire la parole della riconciliazione al di fuori dei confini visibili della Chiesa. Tali parole non sono indifferenti per </w:t>
      </w:r>
      <w:smartTag w:uri="urn:schemas-microsoft-com:office:smarttags" w:element="PersonName">
        <w:smartTagPr>
          <w:attr w:name="ProductID" w:val="la Chiesa"/>
        </w:smartTagPr>
        <w:r>
          <w:rPr>
            <w:sz w:val="22"/>
          </w:rPr>
          <w:t>la Chiesa</w:t>
        </w:r>
      </w:smartTag>
      <w:r>
        <w:rPr>
          <w:sz w:val="22"/>
        </w:rPr>
        <w:t xml:space="preserve">, quasi che fossero complementi irrilevanti per la stessa conoscenza di Dio che la comunità già possiede. Si tratta invece di avvenimenti che ampliano la conoscenza di Dio e l’estensione della sua opera di salvezza. Potremmo dire che </w:t>
      </w:r>
      <w:r w:rsidRPr="00541A0A">
        <w:rPr>
          <w:i/>
          <w:sz w:val="22"/>
        </w:rPr>
        <w:t>tali parole contribuiscono all’ascolto della Parola da parte della Chiesa</w:t>
      </w:r>
      <w:r>
        <w:rPr>
          <w:sz w:val="22"/>
        </w:rPr>
        <w:t xml:space="preserve">. Da esse la comunità riceve impulsi inattesi e talvolta sconcertanti, ma capaci di stimolare e ampliare il suo ascolto della Parola. Non parlano però alla Chiesa indipendentemente dal suo sforzo di ascoltare </w:t>
      </w:r>
      <w:smartTag w:uri="urn:schemas-microsoft-com:office:smarttags" w:element="PersonName">
        <w:smartTagPr>
          <w:attr w:name="ProductID" w:val="la Parola"/>
        </w:smartTagPr>
        <w:r>
          <w:rPr>
            <w:sz w:val="22"/>
          </w:rPr>
          <w:t>la Parola</w:t>
        </w:r>
      </w:smartTag>
      <w:r>
        <w:rPr>
          <w:sz w:val="22"/>
        </w:rPr>
        <w:t xml:space="preserve"> nelle Scritture, bensì solo all’interno di questa tensione. Si armonizzano con, illuminano, commentano le grandi linee della testimonianza scritturistica. Portano quindi a una comprensione più profonda o a una maggior estensione della fede, ma non dall’interno del credo, bensì dall’esterno, quasi dal di fuori. E’ comunque sempre Cristo che parla alla Chiesa in modi e vie spesso inattesi. Si tratta quindi sempre dell’unica Parola, la cui unità è differenziata a ricca. </w:t>
      </w:r>
    </w:p>
    <w:p w:rsidR="00E35E98" w:rsidRDefault="00E35E98" w:rsidP="00E35E98">
      <w:pPr>
        <w:ind w:left="170" w:right="113"/>
        <w:jc w:val="both"/>
        <w:rPr>
          <w:i/>
          <w:sz w:val="22"/>
        </w:rPr>
      </w:pPr>
    </w:p>
    <w:p w:rsidR="00E35E98" w:rsidRDefault="00E35E98" w:rsidP="00E35E98">
      <w:pPr>
        <w:ind w:left="170" w:right="113"/>
        <w:jc w:val="both"/>
        <w:rPr>
          <w:sz w:val="22"/>
        </w:rPr>
      </w:pPr>
      <w:r>
        <w:rPr>
          <w:i/>
          <w:sz w:val="22"/>
        </w:rPr>
        <w:lastRenderedPageBreak/>
        <w:t>(b</w:t>
      </w:r>
      <w:r w:rsidRPr="006446E6">
        <w:rPr>
          <w:i/>
          <w:sz w:val="22"/>
        </w:rPr>
        <w:t>) La creazione e le sue luci</w:t>
      </w:r>
      <w:r>
        <w:rPr>
          <w:sz w:val="22"/>
        </w:rPr>
        <w:t xml:space="preserve">. Oltre a queste parole che rimandano alla Parola, vi sono luci che illuminano al modo di verità che appartengono alla creazione </w:t>
      </w:r>
      <w:r w:rsidRPr="00BF0BAD">
        <w:rPr>
          <w:i/>
          <w:sz w:val="22"/>
        </w:rPr>
        <w:t>in quanto</w:t>
      </w:r>
      <w:r>
        <w:rPr>
          <w:sz w:val="22"/>
        </w:rPr>
        <w:t xml:space="preserve"> creazione. Vi sono infatti tratti del creato che attestano un ordine della creazione che sta, persiste ed è costante. Vi sono luci create che brillano e possono essere viste nel e con l’essere creaturale del mondo. Tali verità dichiarano l’ordine, i limiti e le direzioni in cui la vita umana e in genere creaturale è vissuta. In quanto illuminano l’ordine, ricordano che la creazione non è un caos. Sono punti di resistenza alle tenebre. In concreto </w:t>
      </w:r>
      <w:proofErr w:type="spellStart"/>
      <w:r>
        <w:rPr>
          <w:sz w:val="22"/>
        </w:rPr>
        <w:t>Barth</w:t>
      </w:r>
      <w:proofErr w:type="spellEnd"/>
      <w:r>
        <w:rPr>
          <w:sz w:val="22"/>
        </w:rPr>
        <w:t xml:space="preserve"> offre due liste di esempi. Quanto alle luci che illuminano il cosmo enumera le scoperte scientifiche, l’intuizione e la creazione artistica, le rivoluzioni politiche, l’orientamento e il </w:t>
      </w:r>
      <w:proofErr w:type="spellStart"/>
      <w:r>
        <w:rPr>
          <w:sz w:val="22"/>
        </w:rPr>
        <w:t>ri</w:t>
      </w:r>
      <w:proofErr w:type="spellEnd"/>
      <w:r>
        <w:rPr>
          <w:sz w:val="22"/>
        </w:rPr>
        <w:t xml:space="preserve">-orientamento morale. Quanto invece alle costanti essenziali dell’esistenza umana l’elenco include lo Stato, il lavoro, il commercio, le diverse forme della cultura umana e anche le religioni. La relazione tra queste luci e </w:t>
      </w:r>
      <w:smartTag w:uri="urn:schemas-microsoft-com:office:smarttags" w:element="PersonName">
        <w:smartTagPr>
          <w:attr w:name="ProductID" w:val="la Luce"/>
        </w:smartTagPr>
        <w:r>
          <w:rPr>
            <w:sz w:val="22"/>
          </w:rPr>
          <w:t>la Luce</w:t>
        </w:r>
      </w:smartTag>
      <w:r>
        <w:rPr>
          <w:sz w:val="22"/>
        </w:rPr>
        <w:t xml:space="preserve"> rimanda al rapporto tra creazione e alleanza e quindi è una sorta di </w:t>
      </w:r>
      <w:r w:rsidRPr="00F27F21">
        <w:rPr>
          <w:i/>
          <w:sz w:val="22"/>
        </w:rPr>
        <w:t>unità nella distinzione</w:t>
      </w:r>
      <w:r>
        <w:rPr>
          <w:sz w:val="22"/>
        </w:rPr>
        <w:t xml:space="preserve">. In negativo: le luci sono solo raggi o riflessi della Luce. Non però nel senso che siano parti dell’unica luce o dimensioni o aspetti dell’unica verità che è all’origini e si dirama egualmente in esse. In positivo: si tratta di rifrazioni dell’unica luce dell’auto-manifestazione di Dio. Il raggio o riflesso non è la stessa cosa della sorgente luminosa. Ma la luce della sorgente luminosa si riflette e brilla nei raggi e permette di cogliere il valore di questi riflessi a servizio dell’unica verità. Un altro modo di pensare all’unità nella differenza tra creazione e alleanza è quello della tensione tra costanza creaturale e storicità dell’alleanza: la creazione realizza tratti di costanza, che non implica uniformità bensì una molteplicità ricca e differenziata, benché stabile. Invece l’alleanza, che pur non è priva di una certa costanza, è segnata dalla storicità e quindi dalla fedeltà che unifica diversi eventi storici concreti. Quanto alla funzione di queste luci, esse garantiscono la stabilità provvidenziale, l’ordine, il contenimento del caos. Ma tali luci, che coesistono con </w:t>
      </w:r>
      <w:smartTag w:uri="urn:schemas-microsoft-com:office:smarttags" w:element="PersonName">
        <w:smartTagPr>
          <w:attr w:name="ProductID" w:val="la Luce"/>
        </w:smartTagPr>
        <w:r>
          <w:rPr>
            <w:sz w:val="22"/>
          </w:rPr>
          <w:t>la Luce</w:t>
        </w:r>
      </w:smartTag>
      <w:r>
        <w:rPr>
          <w:sz w:val="22"/>
        </w:rPr>
        <w:t xml:space="preserve"> pur senza prepararla, poiché questa non può derivare da esse, ma anzi le illumina a partire dal rivelarsi di Dio, costituiscono anche regole e comportamenti che </w:t>
      </w:r>
      <w:smartTag w:uri="urn:schemas-microsoft-com:office:smarttags" w:element="PersonName">
        <w:smartTagPr>
          <w:attr w:name="ProductID" w:val="la Chiesa"/>
        </w:smartTagPr>
        <w:r>
          <w:rPr>
            <w:sz w:val="22"/>
          </w:rPr>
          <w:t>la Chiesa</w:t>
        </w:r>
      </w:smartTag>
      <w:r>
        <w:rPr>
          <w:sz w:val="22"/>
        </w:rPr>
        <w:t xml:space="preserve"> è tenuta ad apprezzare. Si tratta infatti di verità di cui è bene tener conto, anche se ciò va fatto sempre a partire da intuizioni profetiche, capaci di individuare il loro contributo per la vita della comunità. Sono comunque verità da valutare positivamente, ma che </w:t>
      </w:r>
      <w:smartTag w:uri="urn:schemas-microsoft-com:office:smarttags" w:element="PersonName">
        <w:smartTagPr>
          <w:attr w:name="ProductID" w:val="la Chiesa"/>
        </w:smartTagPr>
        <w:r>
          <w:rPr>
            <w:sz w:val="22"/>
          </w:rPr>
          <w:t>la Chiesa</w:t>
        </w:r>
      </w:smartTag>
      <w:r>
        <w:rPr>
          <w:sz w:val="22"/>
        </w:rPr>
        <w:t xml:space="preserve"> non è tenuta a inscrivere nella sua predicazione. Verità coesistenti, che non costituiscono dei passaggi alla Verità. La radice ultima di queste verità al di là della Chiesa è la differenziata e concreta presenza e azione di Dio nel creato. Tale presenza e azione non va pensata come uniforme e generica. Si tratta piuttosto di un ordine gerarchicamente strutturato e differenziato in cui Dio è presente al mondo e la cui base e compimento è sempre e solo Gesù Cristo. Ma se l’azione di Dio non è uniforme e indifferenziata, l’unità di questa varietà non è realizzata attraverso una semplice gradazione al cui vertice starebbe Gesù Cristo. Piuttosto, Gesù è la sorgente che tutto abbraccia dall’inizio al compimento e da cui derivano i raggi, l’orizzonte di fronte al quale le varie gradazioni della presenza di Dio sono ordinate. </w:t>
      </w:r>
      <w:proofErr w:type="spellStart"/>
      <w:r>
        <w:rPr>
          <w:sz w:val="22"/>
        </w:rPr>
        <w:t>Barth</w:t>
      </w:r>
      <w:proofErr w:type="spellEnd"/>
      <w:r>
        <w:rPr>
          <w:sz w:val="22"/>
        </w:rPr>
        <w:t xml:space="preserve"> rifiuta di fare una teoria neutra sull’opera provvidente di Dio, distinguibile dalla storia concreta dell’alleanza e della salvezza compiuta in Cristo. La storia dell’alleanza e della provvidenza non sono due storie derivanti dall’unica origine divina, che si realizzano in parallelo e senza incrociarsi. C’è un’azione ordinata e articolata di Dio, ma la relazione delle varie opere di Dio non è di incremento, quasi che un’azione fosse un passo verso un’altra. Ogni opera di Dio possiede la sua distintiva finalità concreta e particolare, che ha la sua consistenza solo nel suo fondarsi in e nel suo orientarsi a Gesù Cristo. Gli eventi divini non sono casi di una regola di provvidenza generale, ma eventi unici e individuali, con un loro significato e valore unico, che deriva da Gesù Cristo e a lui porta. Questa articolazione dell’opera di Dio non è semplicemente commisurata alla molteplicità delle creature, ma radicata nella ricchezza dello stesso essere divino, còlto nella semplicità ricca del mistero trinitario. </w:t>
      </w:r>
      <w:r w:rsidRPr="003F4EB7">
        <w:rPr>
          <w:i/>
          <w:sz w:val="22"/>
        </w:rPr>
        <w:t xml:space="preserve">Dunque </w:t>
      </w:r>
      <w:smartTag w:uri="urn:schemas-microsoft-com:office:smarttags" w:element="PersonName">
        <w:smartTagPr>
          <w:attr w:name="ProductID" w:val="la Luce"/>
        </w:smartTagPr>
        <w:r w:rsidRPr="003F4EB7">
          <w:rPr>
            <w:i/>
            <w:sz w:val="22"/>
          </w:rPr>
          <w:t>la Luce</w:t>
        </w:r>
      </w:smartTag>
      <w:r w:rsidRPr="003F4EB7">
        <w:rPr>
          <w:i/>
          <w:sz w:val="22"/>
        </w:rPr>
        <w:t xml:space="preserve"> e le luci non sono due raggi paralleli e di uguale valore derivanti da una comune sorgente luminosa. La sorgente è la stessa Luce e i raggi ne sono rifrazioni</w:t>
      </w:r>
      <w:r>
        <w:rPr>
          <w:sz w:val="22"/>
        </w:rPr>
        <w:t xml:space="preserve">. Si tratta di un’applicazione del rapporto tra alleanza e provvidenza. L’alleanza non è un modo possibile e uguale ad altri dell’unica generica provvidenza. </w:t>
      </w:r>
      <w:r w:rsidRPr="003F4EB7">
        <w:rPr>
          <w:i/>
          <w:sz w:val="22"/>
        </w:rPr>
        <w:t>Le luci hanno una rimando determinato alla Luce poiché sono dei modi particolari e irripetibili dell’unica ricca sorgente che è l’essere trinitario di Dio</w:t>
      </w:r>
      <w:r>
        <w:rPr>
          <w:sz w:val="22"/>
        </w:rPr>
        <w:t>. L’unità differenziata dell’unico essere divino si riflette nell’unità differenziata dell’opera divina, che riflette da particolari angoli in vari segmenti del cerchio, l’unica e indivisibile luce di Cristo. Questi angoli particolari riflettono il rapporto unico e individuale dell’essere divino, che è uno, semplice ma differenziato, con le sue creature</w:t>
      </w:r>
      <w:r w:rsidRPr="007B08E0">
        <w:rPr>
          <w:rStyle w:val="Rimandonotaapidipagina"/>
          <w:sz w:val="20"/>
          <w:szCs w:val="20"/>
        </w:rPr>
        <w:footnoteReference w:id="7"/>
      </w:r>
      <w:r>
        <w:rPr>
          <w:sz w:val="22"/>
        </w:rPr>
        <w:t xml:space="preserve">. </w:t>
      </w:r>
    </w:p>
    <w:p w:rsidR="00E35E98" w:rsidRDefault="00E35E98" w:rsidP="00E35E98">
      <w:pPr>
        <w:pStyle w:val="Corpotesto"/>
        <w:rPr>
          <w:sz w:val="24"/>
          <w:szCs w:val="24"/>
        </w:rPr>
      </w:pPr>
    </w:p>
    <w:p w:rsidR="00E35E98" w:rsidRDefault="00E35E98" w:rsidP="00E35E98">
      <w:pPr>
        <w:pStyle w:val="Corpotesto"/>
        <w:jc w:val="center"/>
        <w:rPr>
          <w:sz w:val="24"/>
          <w:szCs w:val="24"/>
        </w:rPr>
      </w:pPr>
      <w:r>
        <w:rPr>
          <w:sz w:val="24"/>
          <w:szCs w:val="24"/>
        </w:rPr>
        <w:lastRenderedPageBreak/>
        <w:t xml:space="preserve">1.4. </w:t>
      </w:r>
      <w:r w:rsidRPr="00AB5932">
        <w:rPr>
          <w:i/>
          <w:sz w:val="24"/>
          <w:szCs w:val="24"/>
        </w:rPr>
        <w:t>La necessità della fede per la salvezza: spunti di riflessione sul nesso fede-Gesù</w:t>
      </w:r>
    </w:p>
    <w:p w:rsidR="00E35E98" w:rsidRDefault="00E35E98" w:rsidP="00E35E98">
      <w:pPr>
        <w:jc w:val="both"/>
      </w:pPr>
    </w:p>
    <w:p w:rsidR="00E35E98" w:rsidRDefault="00E35E98" w:rsidP="00E35E98">
      <w:pPr>
        <w:jc w:val="both"/>
      </w:pPr>
      <w:r>
        <w:t xml:space="preserve">Passiamo a considerare il secondo ingrediente della novità cristiana nell’ambito dell’esperienza religiosa: la fede. La sua importanza è già stata ampiamente argomentata, soprattutto nel rimando ad Ebrei 11,6: senza la fede è impossibile piacere a Dio. Nei termini della riflessione teologica sulla </w:t>
      </w:r>
      <w:proofErr w:type="spellStart"/>
      <w:r w:rsidRPr="00363E72">
        <w:rPr>
          <w:i/>
        </w:rPr>
        <w:t>salus</w:t>
      </w:r>
      <w:proofErr w:type="spellEnd"/>
      <w:r w:rsidRPr="00363E72">
        <w:rPr>
          <w:i/>
        </w:rPr>
        <w:t xml:space="preserve"> </w:t>
      </w:r>
      <w:proofErr w:type="spellStart"/>
      <w:r w:rsidRPr="00363E72">
        <w:rPr>
          <w:i/>
        </w:rPr>
        <w:t>infidelium</w:t>
      </w:r>
      <w:proofErr w:type="spellEnd"/>
      <w:r>
        <w:t xml:space="preserve"> il problema della fede rimandava alla questione se e in che misura fosse possibile un atto di fede soprannaturale in altre esperienze religiose. La risposta postulava un delicato equilibrio tra azione della grazia nella coscienza, possibilità di un principio di rivelazione più o meno sparso nelle esperienze storiche dei popoli e valorizzazione dell’esperienza/conoscenza “naturale” di Dio. </w:t>
      </w:r>
    </w:p>
    <w:p w:rsidR="00E35E98" w:rsidRDefault="00E35E98" w:rsidP="00E35E98">
      <w:pPr>
        <w:jc w:val="both"/>
      </w:pPr>
    </w:p>
    <w:p w:rsidR="00E35E98" w:rsidRDefault="00E35E98" w:rsidP="00E35E98">
      <w:pPr>
        <w:jc w:val="both"/>
      </w:pPr>
      <w:r>
        <w:t xml:space="preserve">La riconducibilità della differenza cristiana alla fede può essere provocatoriamente ma efficacemente enunciata con questa frase di P.A. </w:t>
      </w:r>
      <w:proofErr w:type="spellStart"/>
      <w:r>
        <w:t>Sequeri</w:t>
      </w:r>
      <w:proofErr w:type="spellEnd"/>
      <w:r>
        <w:t xml:space="preserve">: </w:t>
      </w:r>
      <w:r w:rsidRPr="001B08D6">
        <w:rPr>
          <w:i/>
        </w:rPr>
        <w:t>«Il cristianesimo è la forma storica della fede di Gesù più che la forma riuscita della religione»</w:t>
      </w:r>
      <w:r>
        <w:t>. Ma cosa si intende con «fede» e in specie con «fede di Gesù»? Potremmo riconoscerne gli ingredienti in altre esperienze religiose? A che condizione e con quale esito salvifico?</w:t>
      </w:r>
    </w:p>
    <w:p w:rsidR="00E35E98" w:rsidRDefault="00E35E98" w:rsidP="00E35E98">
      <w:pPr>
        <w:jc w:val="both"/>
      </w:pPr>
      <w:r>
        <w:t>Anche qui, come nella problematica della grazia, il vero problema sta nella determinazione della nozione di fede più che in un astratto giudizio sulle altre religioni.</w:t>
      </w:r>
    </w:p>
    <w:p w:rsidR="00E35E98" w:rsidRDefault="00E35E98" w:rsidP="00E35E98">
      <w:pPr>
        <w:jc w:val="both"/>
        <w:rPr>
          <w:i/>
        </w:rPr>
      </w:pPr>
    </w:p>
    <w:p w:rsidR="00E35E98" w:rsidRDefault="00E35E98" w:rsidP="00E35E98">
      <w:pPr>
        <w:jc w:val="both"/>
      </w:pPr>
      <w:r>
        <w:rPr>
          <w:i/>
        </w:rPr>
        <w:t xml:space="preserve">(a) </w:t>
      </w:r>
      <w:r w:rsidRPr="000D3254">
        <w:rPr>
          <w:i/>
        </w:rPr>
        <w:t>Una necessaria delimitazione</w:t>
      </w:r>
      <w:r>
        <w:t xml:space="preserve">. Ci si deve da subito misurare con la proibizione da parte della </w:t>
      </w:r>
      <w:r w:rsidRPr="00B672DD">
        <w:rPr>
          <w:i/>
        </w:rPr>
        <w:t xml:space="preserve">Dominus </w:t>
      </w:r>
      <w:proofErr w:type="spellStart"/>
      <w:r w:rsidRPr="00B672DD">
        <w:rPr>
          <w:i/>
        </w:rPr>
        <w:t>Jesus</w:t>
      </w:r>
      <w:proofErr w:type="spellEnd"/>
      <w:r>
        <w:t xml:space="preserve"> di riconoscere in altre esperienze religiose un vero e proprio atto di fede soprannaturale. In altri termini: si deve evitare l’identificazione tra la fede cristiana e le forme di fiducia, credo, obbedienza presenti in altre religioni. Riportiamo per intero il testo, che rimanda alle posizioni di teologi come R. </w:t>
      </w:r>
      <w:proofErr w:type="spellStart"/>
      <w:r>
        <w:t>Panikkar</w:t>
      </w:r>
      <w:proofErr w:type="spellEnd"/>
      <w:r>
        <w:t xml:space="preserve">, J. </w:t>
      </w:r>
      <w:proofErr w:type="spellStart"/>
      <w:r>
        <w:t>Hick</w:t>
      </w:r>
      <w:proofErr w:type="spellEnd"/>
      <w:r>
        <w:t xml:space="preserve"> e affini.</w:t>
      </w:r>
    </w:p>
    <w:p w:rsidR="00E35E98" w:rsidRDefault="00E35E98" w:rsidP="00E35E98">
      <w:pPr>
        <w:ind w:left="170" w:right="113"/>
        <w:jc w:val="both"/>
        <w:rPr>
          <w:sz w:val="22"/>
        </w:rPr>
      </w:pPr>
    </w:p>
    <w:p w:rsidR="00E35E98" w:rsidRDefault="00E35E98" w:rsidP="00E35E98">
      <w:pPr>
        <w:ind w:left="170" w:right="113"/>
        <w:jc w:val="both"/>
        <w:rPr>
          <w:sz w:val="22"/>
        </w:rPr>
      </w:pPr>
      <w:r>
        <w:rPr>
          <w:sz w:val="22"/>
        </w:rPr>
        <w:t>La risposta adeguata alla rivelazione di Dio è l’«</w:t>
      </w:r>
      <w:r w:rsidRPr="004C3797">
        <w:rPr>
          <w:i/>
          <w:sz w:val="22"/>
        </w:rPr>
        <w:t>obbedienza della fede</w:t>
      </w:r>
      <w:r>
        <w:rPr>
          <w:sz w:val="22"/>
        </w:rPr>
        <w:t xml:space="preserve"> (</w:t>
      </w:r>
      <w:proofErr w:type="spellStart"/>
      <w:r>
        <w:rPr>
          <w:sz w:val="22"/>
        </w:rPr>
        <w:t>cf</w:t>
      </w:r>
      <w:proofErr w:type="spellEnd"/>
      <w:r>
        <w:rPr>
          <w:sz w:val="22"/>
        </w:rPr>
        <w:t xml:space="preserve">. </w:t>
      </w:r>
      <w:proofErr w:type="spellStart"/>
      <w:r>
        <w:rPr>
          <w:sz w:val="22"/>
        </w:rPr>
        <w:t>Rm</w:t>
      </w:r>
      <w:proofErr w:type="spellEnd"/>
      <w:r>
        <w:rPr>
          <w:sz w:val="22"/>
        </w:rPr>
        <w:t xml:space="preserve"> 1,5; 16,26; 2Cor 10,5-6), per la quale l’uomo si abbandona in Dio tutto intero liberamente, prestando il “pieno ossequio dell’intelletto e della volontà a Dio che rivela” e dando il proprio assenso volontario alla rivelazione fatta da lui» (</w:t>
      </w:r>
      <w:r w:rsidRPr="004C3797">
        <w:rPr>
          <w:i/>
          <w:sz w:val="22"/>
        </w:rPr>
        <w:t xml:space="preserve">Dei </w:t>
      </w:r>
      <w:proofErr w:type="spellStart"/>
      <w:r w:rsidRPr="004C3797">
        <w:rPr>
          <w:i/>
          <w:sz w:val="22"/>
        </w:rPr>
        <w:t>Verbum</w:t>
      </w:r>
      <w:proofErr w:type="spellEnd"/>
      <w:r>
        <w:rPr>
          <w:sz w:val="22"/>
        </w:rPr>
        <w:t xml:space="preserve"> 5). La fede è un dono di grazia: «Perché si possa prestare questa fede, è necessaria la grazia di Dio che previene e soccorre, e gli aiuti interiori dello Spirito Santo, il quale muova il cuore e lo rivolga a Dio, apra gli occhi della mente e dia a tutti “dolcezza nel consentire e nel credere alla verità”» (</w:t>
      </w:r>
      <w:r w:rsidRPr="004C3797">
        <w:rPr>
          <w:i/>
          <w:sz w:val="22"/>
        </w:rPr>
        <w:t xml:space="preserve">Dei </w:t>
      </w:r>
      <w:proofErr w:type="spellStart"/>
      <w:r w:rsidRPr="004C3797">
        <w:rPr>
          <w:i/>
          <w:sz w:val="22"/>
        </w:rPr>
        <w:t>Verbum</w:t>
      </w:r>
      <w:proofErr w:type="spellEnd"/>
      <w:r>
        <w:rPr>
          <w:sz w:val="22"/>
        </w:rPr>
        <w:t xml:space="preserve"> 5). </w:t>
      </w:r>
    </w:p>
    <w:p w:rsidR="00E35E98" w:rsidRDefault="00E35E98" w:rsidP="00E35E98">
      <w:pPr>
        <w:ind w:left="170" w:right="113"/>
        <w:jc w:val="both"/>
        <w:rPr>
          <w:sz w:val="22"/>
        </w:rPr>
      </w:pPr>
      <w:r>
        <w:rPr>
          <w:sz w:val="22"/>
        </w:rPr>
        <w:t xml:space="preserve">L’obbedienza della fede comporta l’accoglienza della verità della rivelazione di Cristo, garantita da Dio, che è </w:t>
      </w:r>
      <w:smartTag w:uri="urn:schemas-microsoft-com:office:smarttags" w:element="PersonName">
        <w:smartTagPr>
          <w:attr w:name="ProductID" w:val="la Verit￠"/>
        </w:smartTagPr>
        <w:r>
          <w:rPr>
            <w:sz w:val="22"/>
          </w:rPr>
          <w:t>la Verità</w:t>
        </w:r>
      </w:smartTag>
      <w:r>
        <w:rPr>
          <w:sz w:val="22"/>
        </w:rPr>
        <w:t xml:space="preserve"> stessa (</w:t>
      </w:r>
      <w:r w:rsidRPr="004241A4">
        <w:rPr>
          <w:i/>
          <w:sz w:val="22"/>
        </w:rPr>
        <w:t>Catechismo della Chiesa Cattolica</w:t>
      </w:r>
      <w:r>
        <w:rPr>
          <w:sz w:val="22"/>
        </w:rPr>
        <w:t xml:space="preserve"> n. 144): «La fede è innanzitutto un’adesione personale dell’uomo a Dio; al tempo stesso e inseparabilmente, è l’assenso libero a tutta la verità che Dio ha rivelato» (</w:t>
      </w:r>
      <w:r w:rsidRPr="00F76024">
        <w:rPr>
          <w:i/>
          <w:sz w:val="22"/>
        </w:rPr>
        <w:t>CCC</w:t>
      </w:r>
      <w:r>
        <w:rPr>
          <w:sz w:val="22"/>
        </w:rPr>
        <w:t xml:space="preserve"> n. 150). La fede, quindi, «dono di Dio» e «virtù soprannaturale da lui infusa» (</w:t>
      </w:r>
      <w:r w:rsidRPr="00F76024">
        <w:rPr>
          <w:i/>
          <w:sz w:val="22"/>
        </w:rPr>
        <w:t>CCC</w:t>
      </w:r>
      <w:r>
        <w:rPr>
          <w:sz w:val="22"/>
        </w:rPr>
        <w:t xml:space="preserve"> n. 153), comporta una duplice adesione: a Dio, che rivela, e alla verità da lui rivelata, per la fiducia che si accorda alla persona che l’afferma. Per questo «non dobbiamo credere in nessun altro se non in Dio, il Padre, il Figlio e lo Spirito Santo» (</w:t>
      </w:r>
      <w:r w:rsidRPr="00F76024">
        <w:rPr>
          <w:i/>
          <w:sz w:val="22"/>
        </w:rPr>
        <w:t>CCC</w:t>
      </w:r>
      <w:r>
        <w:rPr>
          <w:sz w:val="22"/>
        </w:rPr>
        <w:t xml:space="preserve"> n. 178).</w:t>
      </w:r>
    </w:p>
    <w:p w:rsidR="00E35E98" w:rsidRDefault="00E35E98" w:rsidP="00E35E98">
      <w:pPr>
        <w:ind w:left="170" w:right="113"/>
        <w:jc w:val="both"/>
        <w:rPr>
          <w:sz w:val="22"/>
        </w:rPr>
      </w:pPr>
      <w:r>
        <w:rPr>
          <w:sz w:val="22"/>
        </w:rPr>
        <w:t>Deve essere, quindi, fermamente ritenuta la distinzione tra la fede teologale e la credenza nelle altre religioni. Se la fede è l’accoglienza nella grazia della verità rivelata, «che permette di entrare all’interno del mistero, favorendone la coerente intelligenza» (</w:t>
      </w:r>
      <w:r w:rsidRPr="008D74C0">
        <w:rPr>
          <w:i/>
          <w:sz w:val="22"/>
        </w:rPr>
        <w:t>Fides et ratio</w:t>
      </w:r>
      <w:r>
        <w:rPr>
          <w:sz w:val="22"/>
        </w:rPr>
        <w:t>, n. 13), la credenza nelle altre religioni è quell’insieme di esperienza e di pensiero, che costituiscono i tesori umani di saggezza e di religiosità, che l’uomo nella sua ricerca della verità ha ideato e messo in atto nella sua ricerca del divino e dell’Assoluto (</w:t>
      </w:r>
      <w:r w:rsidRPr="00FC7E99">
        <w:rPr>
          <w:i/>
          <w:sz w:val="22"/>
        </w:rPr>
        <w:t>Fide et ratio</w:t>
      </w:r>
      <w:r>
        <w:rPr>
          <w:sz w:val="22"/>
        </w:rPr>
        <w:t xml:space="preserve">, </w:t>
      </w:r>
      <w:proofErr w:type="spellStart"/>
      <w:r>
        <w:rPr>
          <w:sz w:val="22"/>
        </w:rPr>
        <w:t>nn</w:t>
      </w:r>
      <w:proofErr w:type="spellEnd"/>
      <w:r>
        <w:rPr>
          <w:sz w:val="22"/>
        </w:rPr>
        <w:t>. 31-32).</w:t>
      </w:r>
    </w:p>
    <w:p w:rsidR="00E35E98" w:rsidRPr="000D3254" w:rsidRDefault="00E35E98" w:rsidP="00E35E98">
      <w:pPr>
        <w:ind w:left="170" w:right="113"/>
        <w:jc w:val="both"/>
        <w:rPr>
          <w:sz w:val="22"/>
        </w:rPr>
      </w:pPr>
      <w:r>
        <w:rPr>
          <w:sz w:val="22"/>
        </w:rPr>
        <w:t>Non sempre tale distinzione viene tenuta presente nella riflessione attuale, per cui spesso si identifica la fede teologale, che è accoglienza della verità rivelata da Dio uno e trino, e la credenza nelle altre religioni, che è esperienza religiosa ancora alla ricerca della verità assoluta e priva ancora dell’assenso a Dio che si rivela. Questo è uno dei motivi per cui si tende a ridurre, fino talvolta ad annullarle, le differenze tra il cristianesimo e le altre religioni (</w:t>
      </w:r>
      <w:r w:rsidRPr="00F76024">
        <w:rPr>
          <w:i/>
          <w:sz w:val="22"/>
        </w:rPr>
        <w:t xml:space="preserve">Dominus </w:t>
      </w:r>
      <w:proofErr w:type="spellStart"/>
      <w:r w:rsidRPr="00F76024">
        <w:rPr>
          <w:i/>
          <w:sz w:val="22"/>
        </w:rPr>
        <w:t>Jesus</w:t>
      </w:r>
      <w:proofErr w:type="spellEnd"/>
      <w:r>
        <w:rPr>
          <w:sz w:val="22"/>
        </w:rPr>
        <w:t>, n. 7).</w:t>
      </w:r>
    </w:p>
    <w:p w:rsidR="00E35E98" w:rsidRDefault="00E35E98" w:rsidP="00E35E98">
      <w:pPr>
        <w:jc w:val="both"/>
      </w:pPr>
    </w:p>
    <w:p w:rsidR="00E35E98" w:rsidRDefault="00E35E98" w:rsidP="00E35E98">
      <w:pPr>
        <w:jc w:val="both"/>
      </w:pPr>
      <w:r>
        <w:rPr>
          <w:i/>
        </w:rPr>
        <w:t>(b</w:t>
      </w:r>
      <w:r w:rsidRPr="007014B3">
        <w:rPr>
          <w:i/>
        </w:rPr>
        <w:t>)</w:t>
      </w:r>
      <w:r>
        <w:t xml:space="preserve"> Ciò che l’espressione «fede di Gesù» rivela è il nesso inscindibile tra la fede (salvifica) e Gesù. In tal senso Gesù è mediatore unico, definitivo e universale della fede. Interessa meno la </w:t>
      </w:r>
      <w:r>
        <w:lastRenderedPageBreak/>
        <w:t xml:space="preserve">problematica, peraltro equivoca, se Gesù avesse o meno la fede. In tal senso ci limitiamo a richiamare il senso e la portata del rapporto stretto tra Gesù e la fede, così come emerge dalla testimonianza apostolica, ossia nei Vangeli, dove Gesù introduce alla fede nella sua pienezza così da essere «autore e perfezionatore» della fede (Ebrei 12,2) e in Paolo, che usa la curiosa espressione </w:t>
      </w:r>
      <w:r>
        <w:rPr>
          <w:i/>
        </w:rPr>
        <w:t>«</w:t>
      </w:r>
      <w:proofErr w:type="spellStart"/>
      <w:r>
        <w:rPr>
          <w:i/>
        </w:rPr>
        <w:t>pistis</w:t>
      </w:r>
      <w:proofErr w:type="spellEnd"/>
      <w:r w:rsidRPr="00154886">
        <w:rPr>
          <w:i/>
        </w:rPr>
        <w:t xml:space="preserve"> </w:t>
      </w:r>
      <w:proofErr w:type="spellStart"/>
      <w:r w:rsidRPr="00154886">
        <w:rPr>
          <w:i/>
        </w:rPr>
        <w:t>Christou</w:t>
      </w:r>
      <w:proofErr w:type="spellEnd"/>
      <w:r w:rsidRPr="00154886">
        <w:rPr>
          <w:i/>
        </w:rPr>
        <w:t>»</w:t>
      </w:r>
      <w:r>
        <w:t>.</w:t>
      </w:r>
    </w:p>
    <w:p w:rsidR="00E35E98" w:rsidRDefault="00E35E98" w:rsidP="00E35E98">
      <w:pPr>
        <w:ind w:left="170" w:right="113"/>
        <w:jc w:val="both"/>
        <w:rPr>
          <w:sz w:val="22"/>
        </w:rPr>
      </w:pPr>
    </w:p>
    <w:p w:rsidR="00E35E98" w:rsidRDefault="00E35E98" w:rsidP="00E35E98">
      <w:pPr>
        <w:ind w:left="170" w:right="113"/>
        <w:jc w:val="both"/>
        <w:rPr>
          <w:sz w:val="22"/>
        </w:rPr>
      </w:pPr>
      <w:r>
        <w:rPr>
          <w:sz w:val="22"/>
        </w:rPr>
        <w:t>La fede totale dell’AT è essa stessa passata da una integralità implicita a una integralità esplicita e teologica. Diversi contenuti e concetti che gravitano attorno all’atteggiamento religioso centrale di Israele di fronte al suo Dio dell’alleanza, dovettero a poco a poco compenetrarsi a vicenda. […] L’integrazione dei singoli aspetti della fede in un atteggiamento unitario è nell’AT chiaro segno di un progresso e di una meditazione che intende questa fede in modo più interiore e con maggiore gravità. E non è che il NT voglia far marcia indietro di fronte a questa visione totale quando, parimenti in vista di un approfondimento, scompone di nuovo in modo ancor più reciso questi aspetti singoli, per conferir loro maggiore concretezza. L’esortazione ad essere fedeli nella fede, pazienti nella fede, vigilanti nella fede, ad avere speranza, considera pur sempre l’unico e totale atteggiamento religioso dell’uomo che viene plasmato e suscitato mediante l’unico e unitario comportamento di Dio a suo riguardo. Questo atteggiamento unico non ha da essere disgregato, alla maniera delle scuole giudaiche o delle greche, in una serie di opere o virtù morali o teologiche isolate. […]</w:t>
      </w:r>
    </w:p>
    <w:p w:rsidR="00E35E98" w:rsidRDefault="00E35E98" w:rsidP="00E35E98">
      <w:pPr>
        <w:ind w:left="170" w:right="113"/>
        <w:jc w:val="both"/>
        <w:rPr>
          <w:sz w:val="22"/>
        </w:rPr>
      </w:pPr>
      <w:r>
        <w:rPr>
          <w:sz w:val="22"/>
        </w:rPr>
        <w:t xml:space="preserve">Se guardiamo indietro all’affermazione da cui siamo partiti, essa ci appare rafforzata. E’ impossibile che a questa integralità del giusto atteggiamento dell’uomo davanti a Dio, quale si è andato formando nel corso dell’AT, sia rimasto estraneo l’uomo che davanti a Dio è perfetto: Gesù Cristo. Solo se si guarda l’aspetto particolare che la </w:t>
      </w:r>
      <w:proofErr w:type="spellStart"/>
      <w:r>
        <w:rPr>
          <w:sz w:val="22"/>
        </w:rPr>
        <w:t>pistis</w:t>
      </w:r>
      <w:proofErr w:type="spellEnd"/>
      <w:r>
        <w:rPr>
          <w:sz w:val="22"/>
        </w:rPr>
        <w:t xml:space="preserve"> assume nel NT, a differenza dell’AT (ritenere per vero il </w:t>
      </w:r>
      <w:proofErr w:type="spellStart"/>
      <w:r>
        <w:rPr>
          <w:sz w:val="22"/>
        </w:rPr>
        <w:t>kerigma</w:t>
      </w:r>
      <w:proofErr w:type="spellEnd"/>
      <w:r>
        <w:rPr>
          <w:sz w:val="22"/>
        </w:rPr>
        <w:t xml:space="preserve"> annunciato e le singole affermazioni in esso contenute o che se ne possono ricavare) è naturale che si affermi: con ciò il Cristo non ha niente a che fare, poiché è lui il contenuto essenziale di questo </w:t>
      </w:r>
      <w:proofErr w:type="spellStart"/>
      <w:r>
        <w:rPr>
          <w:sz w:val="22"/>
        </w:rPr>
        <w:t>kerigma</w:t>
      </w:r>
      <w:proofErr w:type="spellEnd"/>
      <w:r>
        <w:rPr>
          <w:sz w:val="22"/>
        </w:rPr>
        <w:t xml:space="preserve">. In questo senso egli sta al di sopra della fede: «Egli in persona non crede. Questa parola non ha riscontro con la sua situazione particolare. Egli non sta dalla parte dove si crede, ma da quella dove è ciò a cui la fede si volge. Per meglio dire: è lui che rende possibile la fede» (R. </w:t>
      </w:r>
      <w:proofErr w:type="spellStart"/>
      <w:r>
        <w:rPr>
          <w:sz w:val="22"/>
        </w:rPr>
        <w:t>Guardini</w:t>
      </w:r>
      <w:proofErr w:type="spellEnd"/>
      <w:r>
        <w:rPr>
          <w:sz w:val="22"/>
        </w:rPr>
        <w:t>). Ma con questo non si è detto tutto, e neppure la cosa più importante. Non si detto e non si è mostrato in che modo Gesù rende possibile la nostra fede, la fede cioè che non deve abolire, ma perfezionare dal di dentro tutto l’atteggiamento veterotestamentario di fronte a Dio. Il che può avvenire soltanto se Gesù non solo provoca in qualità di causa questo perfezionamento, ma lo vive per il primo come prototipo, e quindi riceve da Dio il potere salvifico di esprimere e di imprimere in noi questa sua esemplarità vissuta</w:t>
      </w:r>
      <w:r w:rsidRPr="007D3C0A">
        <w:rPr>
          <w:rStyle w:val="Rimandonotaapidipagina"/>
          <w:sz w:val="20"/>
          <w:szCs w:val="20"/>
        </w:rPr>
        <w:footnoteReference w:id="8"/>
      </w:r>
      <w:r>
        <w:rPr>
          <w:sz w:val="22"/>
        </w:rPr>
        <w:t>.</w:t>
      </w:r>
    </w:p>
    <w:p w:rsidR="00E35E98" w:rsidRDefault="00E35E98" w:rsidP="00E35E98">
      <w:pPr>
        <w:ind w:left="170" w:right="113"/>
        <w:jc w:val="both"/>
        <w:rPr>
          <w:sz w:val="22"/>
        </w:rPr>
      </w:pPr>
    </w:p>
    <w:p w:rsidR="00E35E98" w:rsidRPr="00C16576" w:rsidRDefault="00E35E98" w:rsidP="00E35E98">
      <w:pPr>
        <w:jc w:val="both"/>
      </w:pPr>
      <w:r>
        <w:t xml:space="preserve">Si potrebbe dire che Gesù è l’avvenimento della fede, l’evento del credere che introduce, rende partecipi dell’onnipotente vicinanza sanante di Dio nel suo regno. In tal senso Gesù introduce nella fede che è sua, nel suo avvenimento. </w:t>
      </w:r>
      <w:r w:rsidRPr="00E044A6">
        <w:t>È</w:t>
      </w:r>
      <w:r>
        <w:t xml:space="preserve"> significativo il fatto che, nel caso dei miracolati, la fede è da un lato qualcosa che essi stessi devono porre nel loro avvicinarsi a Gesù, eppure dall’altro deve sempre essere lui a decretare la qualità salvifica della fede: «Va’, la tua fede ti ha salvato!». Dunque Gesù non chiede mai ai suoi interlocutori una esplicita professione di fede. Chiede invece di fidarsi, di abbandonarsi all’onnipotente azione di Dio che in lui si va realizzando. La fede è un modo di partecipare all’azione di Dio in Gesù, è un modo per attingere la profondità teologica dell’agire di Gesù.</w:t>
      </w:r>
    </w:p>
    <w:p w:rsidR="00E35E98" w:rsidRDefault="00E35E98" w:rsidP="00E35E98">
      <w:pPr>
        <w:ind w:left="170" w:right="113"/>
        <w:jc w:val="both"/>
        <w:rPr>
          <w:sz w:val="22"/>
        </w:rPr>
      </w:pPr>
    </w:p>
    <w:p w:rsidR="00E35E98" w:rsidRDefault="00E35E98" w:rsidP="00E35E98">
      <w:pPr>
        <w:ind w:left="170" w:right="113"/>
        <w:jc w:val="both"/>
        <w:rPr>
          <w:sz w:val="22"/>
        </w:rPr>
      </w:pPr>
      <w:r>
        <w:rPr>
          <w:sz w:val="22"/>
        </w:rPr>
        <w:t xml:space="preserve">Per l’atteggiamento fondamentale del Figlio dell’uomo di fronte a Dio, il NT non ha un vocabolo globale e preciso. Esso è una luce così fulgida che noi possiamo sopportarla e darle un nome solo dopo averla decomposta nei suoi aspetti particolari e guardandola nel riflesso che ha in noi. Ma in questa decomposizione e rifrangendo la sua pura luce nello spettro di aspetti diversi, possiamo scoprire che il suo splendore è costituito dagli stessi elementi che compongono la luce della fede nell’AT; soltanto portati alla perfezione più alta: umano-divina. Vi ritroviamo tutto: la fedeltà totale del Figlio dell’uomo al padre, data una volta per sempre e tuttavia sempre di nuovo attuata ad ogni istante, nel tempo. La preferenza assoluta data al Padre, alla sua persona, al suo amore, alla sua volontà, al suo comando, di contro ai desideri e alle inclinazioni proprie. La perseveranza irremovibile in questo proposito, capiti quel che capiti. E sopra tutto il rimettere ogni iniziativa al Padre: senza voler sapere niente prima, senza anticipare </w:t>
      </w:r>
      <w:r>
        <w:rPr>
          <w:sz w:val="22"/>
        </w:rPr>
        <w:lastRenderedPageBreak/>
        <w:t>l’ora… Era questo l’atteggiamento perfetto al quale Isaia cercava di allenare gli Ebrei: «State tranquilli, non abbiate paura… Se non vi abbandonate a me, non potete resistere» (</w:t>
      </w:r>
      <w:proofErr w:type="spellStart"/>
      <w:r>
        <w:rPr>
          <w:sz w:val="22"/>
        </w:rPr>
        <w:t>Is</w:t>
      </w:r>
      <w:proofErr w:type="spellEnd"/>
      <w:r>
        <w:rPr>
          <w:sz w:val="22"/>
        </w:rPr>
        <w:t xml:space="preserve"> 7,49); «Nella conversione e nella calma sta la vostra salvezza; nella quiete e nella fiducia sta la vostra forza» (</w:t>
      </w:r>
      <w:proofErr w:type="spellStart"/>
      <w:r>
        <w:rPr>
          <w:sz w:val="22"/>
        </w:rPr>
        <w:t>Is</w:t>
      </w:r>
      <w:proofErr w:type="spellEnd"/>
      <w:r>
        <w:rPr>
          <w:sz w:val="22"/>
        </w:rPr>
        <w:t xml:space="preserve"> 30,15). Il riferimento al Padre in tutto ciò che il Figlio è, fa e dice, la volontà dichiarata di non farsi valere lui per “buono”, ma di essere puramente tramite della bontà del Padre che solo è buono, la sicurezza assoluta, la fiducia incondizionata nel padre, sono la sorgente della sua forza che erompe in miracoli e che egli non si stanca di raccomandare ai suoi come forza della fede e di inculcare come esempio della vita. Anche quella fede che egli esige dai suoi, non è rivolta a sé (questo avverrà soltanto nel ripensamento che ne farà Giovanni), ma a Dio. Egli è però colui che possiede questo atteggiamento nella sua pienezza e ha il potere di infonderlo in quelli che gli si affidano… In questa potenza e in questo abbandono… che sono la forza e il darsi di Dio in lui, egli fonda la fede quale deve essere nei suoi discepoli. Non come qualcosa di attenuato, che le somigli solo da lontano, ma come autentica partecipazione a quella che egli possiede come archetipo… Poiché assolutamente non basta affinché sia tale che Cristo ne sia l’oggetto… egli deve esserne in ogni caso anche il soggetto sublime, in partecipazione al quale l’uomo crede, in virtù della grazia: «Aiuta la mia incredulità!».  L’offerta che Gesù fa agli uomini di essere per loro mediatore della forza di Dio nel suo proprio donarsi, nella sua disponibilità piena per tutti, è stata interpretata poi da Giovanni come amore</w:t>
      </w:r>
      <w:r w:rsidRPr="007D3C0A">
        <w:rPr>
          <w:rStyle w:val="Rimandonotaapidipagina"/>
          <w:sz w:val="20"/>
          <w:szCs w:val="20"/>
        </w:rPr>
        <w:footnoteReference w:id="9"/>
      </w:r>
      <w:r>
        <w:rPr>
          <w:sz w:val="22"/>
        </w:rPr>
        <w:t>.</w:t>
      </w:r>
    </w:p>
    <w:p w:rsidR="00E35E98" w:rsidRPr="000A2179" w:rsidRDefault="00E35E98" w:rsidP="00E35E98">
      <w:pPr>
        <w:ind w:left="170" w:right="113"/>
        <w:jc w:val="both"/>
        <w:rPr>
          <w:sz w:val="22"/>
        </w:rPr>
      </w:pPr>
    </w:p>
    <w:p w:rsidR="00E35E98" w:rsidRDefault="00E35E98" w:rsidP="00E35E98">
      <w:pPr>
        <w:jc w:val="both"/>
      </w:pPr>
      <w:r>
        <w:t xml:space="preserve">Tutto questo getta piena luce sulla solenne affermazione di Ebrei 12,2 secondo cui Gesù è «autore e perfezionatore della fede». </w:t>
      </w:r>
    </w:p>
    <w:p w:rsidR="00E35E98" w:rsidRDefault="00E35E98" w:rsidP="00E35E98">
      <w:pPr>
        <w:jc w:val="both"/>
      </w:pPr>
    </w:p>
    <w:p w:rsidR="00E35E98" w:rsidRDefault="00E35E98" w:rsidP="00E35E98">
      <w:pPr>
        <w:jc w:val="both"/>
      </w:pPr>
      <w:r>
        <w:t>Ci chiediamo, alla luce di queste riflessioni, se il nesso tra la fede e Gesù e quindi tra i diversi atteggiamenti religiosi e la novità di Gesù Cristo non vada intesa in questo senso: i diversi colori che costituiscono l’unica luce della fede pienamente realizzata nella sua perfezione da Cristo Gesù sono diversamente presenti, rifratti in modo parziale, nella varie esperienze religiose. Ma solo nell’atteggiamento di Gesù Cristo sono portati a pienezza e quindi compiuti, in modo da realizzare il dono originario di Dio. Il problema è meno quello di trovare la fede in altre esperienze, quanto quello di comprendere quale presenza di Cristo in altre religioni raccoglie porta a pienezza quei raggi di verità e di grazia che vi sono contenuti. Il nesso tra Gesù e la fede, comunque, resta insostituibile.</w:t>
      </w:r>
    </w:p>
    <w:p w:rsidR="008D7263" w:rsidRDefault="008D7263" w:rsidP="00E35E98">
      <w:pPr>
        <w:jc w:val="both"/>
      </w:pPr>
    </w:p>
    <w:p w:rsidR="00E35E98" w:rsidRDefault="00E35E98" w:rsidP="00E35E98">
      <w:pPr>
        <w:jc w:val="both"/>
      </w:pPr>
    </w:p>
    <w:p w:rsidR="00E35E98" w:rsidRPr="00E35E98" w:rsidRDefault="00E35E98" w:rsidP="00E35E98">
      <w:pPr>
        <w:jc w:val="both"/>
      </w:pPr>
    </w:p>
    <w:sectPr w:rsidR="00E35E98" w:rsidRPr="00E35E9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98A" w:rsidRDefault="0089498A" w:rsidP="00E35E98">
      <w:r>
        <w:separator/>
      </w:r>
    </w:p>
  </w:endnote>
  <w:endnote w:type="continuationSeparator" w:id="0">
    <w:p w:rsidR="0089498A" w:rsidRDefault="0089498A" w:rsidP="00E3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98A" w:rsidRDefault="0089498A" w:rsidP="00E35E98">
      <w:r>
        <w:separator/>
      </w:r>
    </w:p>
  </w:footnote>
  <w:footnote w:type="continuationSeparator" w:id="0">
    <w:p w:rsidR="0089498A" w:rsidRDefault="0089498A" w:rsidP="00E35E98">
      <w:r>
        <w:continuationSeparator/>
      </w:r>
    </w:p>
  </w:footnote>
  <w:footnote w:id="1">
    <w:p w:rsidR="00E35E98" w:rsidRDefault="00E35E98" w:rsidP="00E35E98">
      <w:pPr>
        <w:pStyle w:val="Testonotaapidipagina"/>
        <w:jc w:val="both"/>
      </w:pPr>
      <w:r>
        <w:rPr>
          <w:rStyle w:val="Rimandonotaapidipagina"/>
        </w:rPr>
        <w:footnoteRef/>
      </w:r>
      <w:r>
        <w:t xml:space="preserve"> </w:t>
      </w:r>
      <w:r w:rsidRPr="00111AC0">
        <w:rPr>
          <w:smallCaps/>
        </w:rPr>
        <w:t xml:space="preserve">L. </w:t>
      </w:r>
      <w:proofErr w:type="spellStart"/>
      <w:r w:rsidRPr="00111AC0">
        <w:rPr>
          <w:smallCaps/>
        </w:rPr>
        <w:t>Capéran</w:t>
      </w:r>
      <w:proofErr w:type="spellEnd"/>
      <w:r>
        <w:t xml:space="preserve">, </w:t>
      </w:r>
      <w:r w:rsidRPr="00111AC0">
        <w:rPr>
          <w:i/>
        </w:rPr>
        <w:t xml:space="preserve">Le </w:t>
      </w:r>
      <w:proofErr w:type="spellStart"/>
      <w:r w:rsidRPr="00111AC0">
        <w:rPr>
          <w:i/>
        </w:rPr>
        <w:t>problème</w:t>
      </w:r>
      <w:proofErr w:type="spellEnd"/>
      <w:r w:rsidRPr="00111AC0">
        <w:rPr>
          <w:i/>
        </w:rPr>
        <w:t xml:space="preserve"> </w:t>
      </w:r>
      <w:proofErr w:type="spellStart"/>
      <w:r w:rsidRPr="00111AC0">
        <w:rPr>
          <w:i/>
        </w:rPr>
        <w:t>du</w:t>
      </w:r>
      <w:proofErr w:type="spellEnd"/>
      <w:r w:rsidRPr="00111AC0">
        <w:rPr>
          <w:i/>
        </w:rPr>
        <w:t xml:space="preserve"> </w:t>
      </w:r>
      <w:proofErr w:type="spellStart"/>
      <w:r w:rsidRPr="00111AC0">
        <w:rPr>
          <w:i/>
        </w:rPr>
        <w:t>saut</w:t>
      </w:r>
      <w:proofErr w:type="spellEnd"/>
      <w:r w:rsidRPr="00111AC0">
        <w:rPr>
          <w:i/>
        </w:rPr>
        <w:t xml:space="preserve"> </w:t>
      </w:r>
      <w:proofErr w:type="spellStart"/>
      <w:r w:rsidRPr="00111AC0">
        <w:rPr>
          <w:i/>
        </w:rPr>
        <w:t>des</w:t>
      </w:r>
      <w:proofErr w:type="spellEnd"/>
      <w:r w:rsidRPr="00111AC0">
        <w:rPr>
          <w:i/>
        </w:rPr>
        <w:t xml:space="preserve"> </w:t>
      </w:r>
      <w:proofErr w:type="spellStart"/>
      <w:r w:rsidRPr="00111AC0">
        <w:rPr>
          <w:i/>
        </w:rPr>
        <w:t>infidèles</w:t>
      </w:r>
      <w:proofErr w:type="spellEnd"/>
      <w:r w:rsidRPr="00111AC0">
        <w:rPr>
          <w:i/>
        </w:rPr>
        <w:t xml:space="preserve">. Essai </w:t>
      </w:r>
      <w:proofErr w:type="spellStart"/>
      <w:r w:rsidRPr="00111AC0">
        <w:rPr>
          <w:i/>
        </w:rPr>
        <w:t>théologique</w:t>
      </w:r>
      <w:proofErr w:type="spellEnd"/>
      <w:r>
        <w:t xml:space="preserve">, </w:t>
      </w:r>
      <w:proofErr w:type="spellStart"/>
      <w:r>
        <w:t>Beauchesne</w:t>
      </w:r>
      <w:proofErr w:type="spellEnd"/>
      <w:r>
        <w:t>, Paris 1912.</w:t>
      </w:r>
    </w:p>
  </w:footnote>
  <w:footnote w:id="2">
    <w:p w:rsidR="007D6D1E" w:rsidRDefault="007D6D1E" w:rsidP="007D6D1E">
      <w:pPr>
        <w:pStyle w:val="Testonotaapidipagina"/>
        <w:jc w:val="both"/>
      </w:pPr>
      <w:r>
        <w:rPr>
          <w:rStyle w:val="Rimandonotaapidipagina"/>
        </w:rPr>
        <w:footnoteRef/>
      </w:r>
      <w:r>
        <w:t xml:space="preserve"> </w:t>
      </w:r>
      <w:r w:rsidRPr="007D6D1E">
        <w:rPr>
          <w:smallCaps/>
        </w:rPr>
        <w:t xml:space="preserve">J. </w:t>
      </w:r>
      <w:proofErr w:type="spellStart"/>
      <w:r w:rsidRPr="007D6D1E">
        <w:rPr>
          <w:smallCaps/>
        </w:rPr>
        <w:t>Dupuis</w:t>
      </w:r>
      <w:proofErr w:type="spellEnd"/>
      <w:r>
        <w:t xml:space="preserve">, </w:t>
      </w:r>
      <w:r w:rsidRPr="007D6D1E">
        <w:rPr>
          <w:i/>
        </w:rPr>
        <w:t>Verso una teologia cristiana del pluralismo religioso</w:t>
      </w:r>
      <w:r>
        <w:t>, Queriniana, Brescia 1997, 148-150.</w:t>
      </w:r>
    </w:p>
  </w:footnote>
  <w:footnote w:id="3">
    <w:p w:rsidR="00E35E98" w:rsidRPr="009A5C0C" w:rsidRDefault="00E35E98" w:rsidP="00E35E98">
      <w:pPr>
        <w:pStyle w:val="Testonotaapidipagina"/>
        <w:jc w:val="both"/>
      </w:pPr>
      <w:r>
        <w:rPr>
          <w:rStyle w:val="Rimandonotaapidipagina"/>
        </w:rPr>
        <w:footnoteRef/>
      </w:r>
      <w:r w:rsidRPr="009A5C0C">
        <w:t xml:space="preserve"> </w:t>
      </w:r>
      <w:proofErr w:type="spellStart"/>
      <w:r w:rsidRPr="009A5C0C">
        <w:rPr>
          <w:i/>
        </w:rPr>
        <w:t>Kirkliche</w:t>
      </w:r>
      <w:proofErr w:type="spellEnd"/>
      <w:r w:rsidRPr="009A5C0C">
        <w:rPr>
          <w:i/>
        </w:rPr>
        <w:t xml:space="preserve"> </w:t>
      </w:r>
      <w:proofErr w:type="spellStart"/>
      <w:r w:rsidRPr="009A5C0C">
        <w:rPr>
          <w:i/>
        </w:rPr>
        <w:t>Dogmatik</w:t>
      </w:r>
      <w:proofErr w:type="spellEnd"/>
      <w:r w:rsidRPr="009A5C0C">
        <w:t xml:space="preserve"> I/2, </w:t>
      </w:r>
      <w:proofErr w:type="spellStart"/>
      <w:r w:rsidRPr="009A5C0C">
        <w:t>Thologischer</w:t>
      </w:r>
      <w:proofErr w:type="spellEnd"/>
      <w:r w:rsidRPr="009A5C0C">
        <w:t xml:space="preserve"> </w:t>
      </w:r>
      <w:proofErr w:type="spellStart"/>
      <w:r w:rsidRPr="009A5C0C">
        <w:t>Verlag</w:t>
      </w:r>
      <w:proofErr w:type="spellEnd"/>
      <w:r w:rsidRPr="009A5C0C">
        <w:t xml:space="preserve">, </w:t>
      </w:r>
      <w:proofErr w:type="spellStart"/>
      <w:r w:rsidRPr="009A5C0C">
        <w:t>Zürich</w:t>
      </w:r>
      <w:proofErr w:type="spellEnd"/>
      <w:r w:rsidRPr="009A5C0C">
        <w:t xml:space="preserve"> 1940, pp. 304-397.</w:t>
      </w:r>
    </w:p>
  </w:footnote>
  <w:footnote w:id="4">
    <w:p w:rsidR="00E35E98" w:rsidRPr="009A5C0C" w:rsidRDefault="00E35E98" w:rsidP="00E35E98">
      <w:pPr>
        <w:pStyle w:val="Testonotaapidipagina"/>
        <w:jc w:val="both"/>
      </w:pPr>
      <w:r>
        <w:rPr>
          <w:rStyle w:val="Rimandonotaapidipagina"/>
        </w:rPr>
        <w:footnoteRef/>
      </w:r>
      <w:r w:rsidRPr="009A5C0C">
        <w:t xml:space="preserve"> </w:t>
      </w:r>
      <w:proofErr w:type="spellStart"/>
      <w:r w:rsidRPr="009A5C0C">
        <w:rPr>
          <w:i/>
        </w:rPr>
        <w:t>Kirkliche</w:t>
      </w:r>
      <w:proofErr w:type="spellEnd"/>
      <w:r w:rsidRPr="009A5C0C">
        <w:rPr>
          <w:i/>
        </w:rPr>
        <w:t xml:space="preserve"> </w:t>
      </w:r>
      <w:proofErr w:type="spellStart"/>
      <w:r w:rsidRPr="009A5C0C">
        <w:rPr>
          <w:i/>
        </w:rPr>
        <w:t>Dogmatik</w:t>
      </w:r>
      <w:proofErr w:type="spellEnd"/>
      <w:r w:rsidRPr="009A5C0C">
        <w:t xml:space="preserve"> IV/3, </w:t>
      </w:r>
      <w:proofErr w:type="spellStart"/>
      <w:r w:rsidRPr="009A5C0C">
        <w:t>Thologischer</w:t>
      </w:r>
      <w:proofErr w:type="spellEnd"/>
      <w:r w:rsidRPr="009A5C0C">
        <w:t xml:space="preserve"> </w:t>
      </w:r>
      <w:proofErr w:type="spellStart"/>
      <w:r w:rsidRPr="009A5C0C">
        <w:t>Verlag</w:t>
      </w:r>
      <w:proofErr w:type="spellEnd"/>
      <w:r w:rsidRPr="009A5C0C">
        <w:t xml:space="preserve">, </w:t>
      </w:r>
      <w:proofErr w:type="spellStart"/>
      <w:r w:rsidRPr="009A5C0C">
        <w:t>Zürich</w:t>
      </w:r>
      <w:proofErr w:type="spellEnd"/>
      <w:r w:rsidRPr="009A5C0C">
        <w:t xml:space="preserve"> 1959, pp. 40-188.</w:t>
      </w:r>
    </w:p>
  </w:footnote>
  <w:footnote w:id="5">
    <w:p w:rsidR="00E35E98" w:rsidRDefault="00E35E98" w:rsidP="00E35E98">
      <w:pPr>
        <w:pStyle w:val="Testonotaapidipagina"/>
        <w:jc w:val="both"/>
      </w:pPr>
      <w:r>
        <w:rPr>
          <w:rStyle w:val="Rimandonotaapidipagina"/>
        </w:rPr>
        <w:footnoteRef/>
      </w:r>
      <w:r>
        <w:t xml:space="preserve"> </w:t>
      </w:r>
      <w:r w:rsidRPr="00FD6564">
        <w:rPr>
          <w:smallCaps/>
        </w:rPr>
        <w:t xml:space="preserve">P. </w:t>
      </w:r>
      <w:proofErr w:type="spellStart"/>
      <w:r w:rsidRPr="00FD6564">
        <w:rPr>
          <w:smallCaps/>
        </w:rPr>
        <w:t>Knitter</w:t>
      </w:r>
      <w:proofErr w:type="spellEnd"/>
      <w:r>
        <w:t xml:space="preserve">, </w:t>
      </w:r>
      <w:r w:rsidRPr="00FD6564">
        <w:rPr>
          <w:i/>
        </w:rPr>
        <w:t>Introduzione alle teologie delle religioni</w:t>
      </w:r>
      <w:r>
        <w:t>, Queriniana, Brescia 2005,  p. 62.</w:t>
      </w:r>
    </w:p>
  </w:footnote>
  <w:footnote w:id="6">
    <w:p w:rsidR="00E35E98" w:rsidRDefault="00E35E98" w:rsidP="00E35E98">
      <w:pPr>
        <w:pStyle w:val="Testonotaapidipagina"/>
        <w:jc w:val="both"/>
      </w:pPr>
      <w:r>
        <w:rPr>
          <w:rStyle w:val="Rimandonotaapidipagina"/>
        </w:rPr>
        <w:footnoteRef/>
      </w:r>
      <w:r>
        <w:t xml:space="preserve"> Lasciamo il termine tedesco per segnalare la difficoltà di traduzione. Le versioni inglesi mantengono l’idea di un </w:t>
      </w:r>
      <w:r w:rsidR="007543E4">
        <w:t xml:space="preserve">superamento che toglie </w:t>
      </w:r>
      <w:r>
        <w:t>la religione, mentre la versione francese parla di «</w:t>
      </w:r>
      <w:proofErr w:type="spellStart"/>
      <w:r>
        <w:t>assomption</w:t>
      </w:r>
      <w:proofErr w:type="spellEnd"/>
      <w:r>
        <w:t xml:space="preserve">», precisando in nota che il verbo </w:t>
      </w:r>
      <w:proofErr w:type="spellStart"/>
      <w:r w:rsidRPr="007543E4">
        <w:rPr>
          <w:i/>
        </w:rPr>
        <w:t>aufheben</w:t>
      </w:r>
      <w:proofErr w:type="spellEnd"/>
      <w:r>
        <w:t xml:space="preserve"> significa «à la fois </w:t>
      </w:r>
      <w:proofErr w:type="spellStart"/>
      <w:r>
        <w:t>élever</w:t>
      </w:r>
      <w:proofErr w:type="spellEnd"/>
      <w:r>
        <w:t xml:space="preserve">, abolir, </w:t>
      </w:r>
      <w:proofErr w:type="spellStart"/>
      <w:r>
        <w:t>mettre</w:t>
      </w:r>
      <w:proofErr w:type="spellEnd"/>
      <w:r>
        <w:t xml:space="preserve"> à l’abri, </w:t>
      </w:r>
      <w:proofErr w:type="spellStart"/>
      <w:r>
        <w:t>couvrir</w:t>
      </w:r>
      <w:proofErr w:type="spellEnd"/>
      <w:r>
        <w:t xml:space="preserve">, </w:t>
      </w:r>
      <w:proofErr w:type="spellStart"/>
      <w:r>
        <w:t>dérober</w:t>
      </w:r>
      <w:proofErr w:type="spellEnd"/>
      <w:r>
        <w:t>». Resta tutta l’ambiguità interpretativa: la rivelazione toglie o eleva, elimina o realizza la religione?</w:t>
      </w:r>
    </w:p>
  </w:footnote>
  <w:footnote w:id="7">
    <w:p w:rsidR="00E35E98" w:rsidRPr="00BF605F" w:rsidRDefault="00E35E98" w:rsidP="00E35E98">
      <w:pPr>
        <w:pStyle w:val="Testonotaapidipagina"/>
        <w:jc w:val="both"/>
        <w:rPr>
          <w:lang w:val="en-GB"/>
        </w:rPr>
      </w:pPr>
      <w:r>
        <w:rPr>
          <w:rStyle w:val="Rimandonotaapidipagina"/>
        </w:rPr>
        <w:footnoteRef/>
      </w:r>
      <w:r w:rsidRPr="00BF605F">
        <w:rPr>
          <w:lang w:val="en-GB"/>
        </w:rPr>
        <w:t xml:space="preserve"> Per </w:t>
      </w:r>
      <w:proofErr w:type="spellStart"/>
      <w:r w:rsidRPr="00BF605F">
        <w:rPr>
          <w:lang w:val="en-GB"/>
        </w:rPr>
        <w:t>questa</w:t>
      </w:r>
      <w:proofErr w:type="spellEnd"/>
      <w:r w:rsidRPr="00BF605F">
        <w:rPr>
          <w:lang w:val="en-GB"/>
        </w:rPr>
        <w:t xml:space="preserve"> </w:t>
      </w:r>
      <w:proofErr w:type="spellStart"/>
      <w:r w:rsidRPr="00BF605F">
        <w:rPr>
          <w:lang w:val="en-GB"/>
        </w:rPr>
        <w:t>esposizione</w:t>
      </w:r>
      <w:proofErr w:type="spellEnd"/>
      <w:r w:rsidRPr="00BF605F">
        <w:rPr>
          <w:lang w:val="en-GB"/>
        </w:rPr>
        <w:t xml:space="preserve"> </w:t>
      </w:r>
      <w:proofErr w:type="spellStart"/>
      <w:r w:rsidRPr="00BF605F">
        <w:rPr>
          <w:lang w:val="en-GB"/>
        </w:rPr>
        <w:t>si</w:t>
      </w:r>
      <w:proofErr w:type="spellEnd"/>
      <w:r w:rsidRPr="00BF605F">
        <w:rPr>
          <w:lang w:val="en-GB"/>
        </w:rPr>
        <w:t xml:space="preserve"> </w:t>
      </w:r>
      <w:proofErr w:type="spellStart"/>
      <w:r w:rsidRPr="00BF605F">
        <w:rPr>
          <w:lang w:val="en-GB"/>
        </w:rPr>
        <w:t>veda</w:t>
      </w:r>
      <w:r>
        <w:rPr>
          <w:lang w:val="en-GB"/>
        </w:rPr>
        <w:t>no</w:t>
      </w:r>
      <w:proofErr w:type="spellEnd"/>
      <w:r w:rsidRPr="00BF605F">
        <w:rPr>
          <w:lang w:val="en-GB"/>
        </w:rPr>
        <w:t xml:space="preserve"> </w:t>
      </w:r>
      <w:r w:rsidRPr="000D217C">
        <w:rPr>
          <w:smallCaps/>
          <w:lang w:val="en-GB"/>
        </w:rPr>
        <w:t>G. Thompson</w:t>
      </w:r>
      <w:r w:rsidRPr="00BF605F">
        <w:rPr>
          <w:lang w:val="en-GB"/>
        </w:rPr>
        <w:t xml:space="preserve">, </w:t>
      </w:r>
      <w:r w:rsidRPr="000D217C">
        <w:rPr>
          <w:i/>
          <w:lang w:val="en-GB"/>
        </w:rPr>
        <w:t>Religious Diversity, Christian Doctrine and Karl Barth</w:t>
      </w:r>
      <w:r>
        <w:rPr>
          <w:lang w:val="en-GB"/>
        </w:rPr>
        <w:t>, in «</w:t>
      </w:r>
      <w:r w:rsidRPr="00602F7E">
        <w:rPr>
          <w:lang w:val="en-GB"/>
        </w:rPr>
        <w:t>International Journal of Systematic Theology</w:t>
      </w:r>
      <w:r>
        <w:rPr>
          <w:lang w:val="en-GB"/>
        </w:rPr>
        <w:t xml:space="preserve">» 8/1 (2006) 3-24; </w:t>
      </w:r>
      <w:r w:rsidRPr="000D217C">
        <w:rPr>
          <w:smallCaps/>
          <w:lang w:val="en-GB"/>
        </w:rPr>
        <w:t>K.E. Johnson</w:t>
      </w:r>
      <w:r>
        <w:rPr>
          <w:lang w:val="en-GB"/>
        </w:rPr>
        <w:t xml:space="preserve">, </w:t>
      </w:r>
      <w:r w:rsidRPr="000D217C">
        <w:rPr>
          <w:i/>
          <w:lang w:val="en-GB"/>
        </w:rPr>
        <w:t>Divine Transcendence, Religious Pluralism and Barth’s Doctrine of God</w:t>
      </w:r>
      <w:r>
        <w:rPr>
          <w:lang w:val="en-GB"/>
        </w:rPr>
        <w:t>, in «</w:t>
      </w:r>
      <w:r w:rsidRPr="00602F7E">
        <w:rPr>
          <w:lang w:val="en-GB"/>
        </w:rPr>
        <w:t>International Journal of Systematic Theology</w:t>
      </w:r>
      <w:r>
        <w:rPr>
          <w:lang w:val="en-GB"/>
        </w:rPr>
        <w:t>» 5/2 (2003) 200-224.</w:t>
      </w:r>
    </w:p>
  </w:footnote>
  <w:footnote w:id="8">
    <w:p w:rsidR="00E35E98" w:rsidRPr="00D81298" w:rsidRDefault="00E35E98" w:rsidP="00E35E98">
      <w:pPr>
        <w:pStyle w:val="Testonotaapidipagina"/>
        <w:jc w:val="both"/>
      </w:pPr>
      <w:r>
        <w:rPr>
          <w:rStyle w:val="Rimandonotaapidipagina"/>
        </w:rPr>
        <w:footnoteRef/>
      </w:r>
      <w:r>
        <w:t xml:space="preserve"> </w:t>
      </w:r>
      <w:r w:rsidRPr="00D81298">
        <w:rPr>
          <w:smallCaps/>
        </w:rPr>
        <w:t xml:space="preserve">H.U. von </w:t>
      </w:r>
      <w:proofErr w:type="spellStart"/>
      <w:r w:rsidRPr="00D81298">
        <w:rPr>
          <w:smallCaps/>
        </w:rPr>
        <w:t>Balthasar</w:t>
      </w:r>
      <w:proofErr w:type="spellEnd"/>
      <w:r w:rsidRPr="00D81298">
        <w:t xml:space="preserve">, </w:t>
      </w:r>
      <w:r w:rsidRPr="00D81298">
        <w:rPr>
          <w:i/>
        </w:rPr>
        <w:t xml:space="preserve">Fides </w:t>
      </w:r>
      <w:proofErr w:type="spellStart"/>
      <w:r w:rsidRPr="00D81298">
        <w:rPr>
          <w:i/>
        </w:rPr>
        <w:t>Christi</w:t>
      </w:r>
      <w:proofErr w:type="spellEnd"/>
      <w:r w:rsidRPr="00D81298">
        <w:t>. in</w:t>
      </w:r>
      <w:r w:rsidRPr="00D81298">
        <w:rPr>
          <w:i/>
        </w:rPr>
        <w:t xml:space="preserve"> </w:t>
      </w:r>
      <w:proofErr w:type="spellStart"/>
      <w:r w:rsidRPr="00D81298">
        <w:rPr>
          <w:i/>
        </w:rPr>
        <w:t>Sponsa</w:t>
      </w:r>
      <w:proofErr w:type="spellEnd"/>
      <w:r w:rsidRPr="00D81298">
        <w:rPr>
          <w:i/>
        </w:rPr>
        <w:t xml:space="preserve"> Verbi. Saggi Teologici II</w:t>
      </w:r>
      <w:r>
        <w:t xml:space="preserve">, </w:t>
      </w:r>
      <w:proofErr w:type="spellStart"/>
      <w:r>
        <w:t>Morcelliana</w:t>
      </w:r>
      <w:proofErr w:type="spellEnd"/>
      <w:r>
        <w:t>, Brescia</w:t>
      </w:r>
      <w:r w:rsidRPr="00D81298">
        <w:t xml:space="preserve"> 1985, pp. 43-48.</w:t>
      </w:r>
    </w:p>
  </w:footnote>
  <w:footnote w:id="9">
    <w:p w:rsidR="00E35E98" w:rsidRDefault="00E35E98" w:rsidP="00E35E98">
      <w:pPr>
        <w:pStyle w:val="Testonotaapidipagina"/>
        <w:jc w:val="both"/>
      </w:pPr>
      <w:r>
        <w:rPr>
          <w:rStyle w:val="Rimandonotaapidipagina"/>
        </w:rPr>
        <w:footnoteRef/>
      </w:r>
      <w:r>
        <w:t xml:space="preserve"> </w:t>
      </w:r>
      <w:r w:rsidRPr="00FE5636">
        <w:rPr>
          <w:i/>
        </w:rPr>
        <w:t>Iv</w:t>
      </w:r>
      <w:bookmarkStart w:id="0" w:name="_GoBack"/>
      <w:bookmarkEnd w:id="0"/>
      <w:r w:rsidRPr="00FE5636">
        <w:rPr>
          <w:i/>
        </w:rPr>
        <w:t>i</w:t>
      </w:r>
      <w:r>
        <w:t>, pp. 48-51.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98"/>
    <w:rsid w:val="00056638"/>
    <w:rsid w:val="003B6B38"/>
    <w:rsid w:val="005B0009"/>
    <w:rsid w:val="007543E4"/>
    <w:rsid w:val="007D6D1E"/>
    <w:rsid w:val="0089498A"/>
    <w:rsid w:val="008D7263"/>
    <w:rsid w:val="00E35E98"/>
    <w:rsid w:val="00EE51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5E98"/>
    <w:pPr>
      <w:spacing w:after="0" w:line="240" w:lineRule="auto"/>
    </w:pPr>
    <w:rPr>
      <w:rFonts w:ascii="Times New Roman" w:eastAsia="Times New Roman" w:hAnsi="Times New Roman" w:cs="Times New Roman"/>
      <w:sz w:val="24"/>
      <w:szCs w:val="24"/>
      <w:lang w:eastAsia="it-IT"/>
    </w:rPr>
  </w:style>
  <w:style w:type="paragraph" w:styleId="Titolo5">
    <w:name w:val="heading 5"/>
    <w:basedOn w:val="Normale"/>
    <w:next w:val="Normale"/>
    <w:link w:val="Titolo5Carattere"/>
    <w:qFormat/>
    <w:rsid w:val="00E35E98"/>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E35E98"/>
    <w:rPr>
      <w:rFonts w:ascii="Times New Roman" w:eastAsia="Times New Roman" w:hAnsi="Times New Roman" w:cs="Times New Roman"/>
      <w:b/>
      <w:bCs/>
      <w:i/>
      <w:iCs/>
      <w:sz w:val="26"/>
      <w:szCs w:val="26"/>
      <w:lang w:eastAsia="it-IT"/>
    </w:rPr>
  </w:style>
  <w:style w:type="paragraph" w:styleId="Corpotesto">
    <w:name w:val="Body Text"/>
    <w:basedOn w:val="Normale"/>
    <w:link w:val="CorpotestoCarattere"/>
    <w:rsid w:val="00E35E98"/>
    <w:pPr>
      <w:jc w:val="both"/>
    </w:pPr>
    <w:rPr>
      <w:sz w:val="22"/>
      <w:szCs w:val="20"/>
    </w:rPr>
  </w:style>
  <w:style w:type="character" w:customStyle="1" w:styleId="CorpotestoCarattere">
    <w:name w:val="Corpo testo Carattere"/>
    <w:basedOn w:val="Carpredefinitoparagrafo"/>
    <w:link w:val="Corpotesto"/>
    <w:rsid w:val="00E35E98"/>
    <w:rPr>
      <w:rFonts w:ascii="Times New Roman" w:eastAsia="Times New Roman" w:hAnsi="Times New Roman" w:cs="Times New Roman"/>
      <w:szCs w:val="20"/>
      <w:lang w:eastAsia="it-IT"/>
    </w:rPr>
  </w:style>
  <w:style w:type="paragraph" w:styleId="Testonotaapidipagina">
    <w:name w:val="footnote text"/>
    <w:basedOn w:val="Normale"/>
    <w:link w:val="TestonotaapidipaginaCarattere"/>
    <w:semiHidden/>
    <w:rsid w:val="00E35E98"/>
    <w:rPr>
      <w:sz w:val="20"/>
      <w:szCs w:val="20"/>
    </w:rPr>
  </w:style>
  <w:style w:type="character" w:customStyle="1" w:styleId="TestonotaapidipaginaCarattere">
    <w:name w:val="Testo nota a piè di pagina Carattere"/>
    <w:basedOn w:val="Carpredefinitoparagrafo"/>
    <w:link w:val="Testonotaapidipagina"/>
    <w:semiHidden/>
    <w:rsid w:val="00E35E98"/>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E35E98"/>
    <w:rPr>
      <w:vertAlign w:val="superscript"/>
    </w:rPr>
  </w:style>
  <w:style w:type="table" w:styleId="Grigliatabella">
    <w:name w:val="Table Grid"/>
    <w:basedOn w:val="Tabellanormale"/>
    <w:rsid w:val="00E35E9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5E98"/>
    <w:pPr>
      <w:spacing w:after="0" w:line="240" w:lineRule="auto"/>
    </w:pPr>
    <w:rPr>
      <w:rFonts w:ascii="Times New Roman" w:eastAsia="Times New Roman" w:hAnsi="Times New Roman" w:cs="Times New Roman"/>
      <w:sz w:val="24"/>
      <w:szCs w:val="24"/>
      <w:lang w:eastAsia="it-IT"/>
    </w:rPr>
  </w:style>
  <w:style w:type="paragraph" w:styleId="Titolo5">
    <w:name w:val="heading 5"/>
    <w:basedOn w:val="Normale"/>
    <w:next w:val="Normale"/>
    <w:link w:val="Titolo5Carattere"/>
    <w:qFormat/>
    <w:rsid w:val="00E35E98"/>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E35E98"/>
    <w:rPr>
      <w:rFonts w:ascii="Times New Roman" w:eastAsia="Times New Roman" w:hAnsi="Times New Roman" w:cs="Times New Roman"/>
      <w:b/>
      <w:bCs/>
      <w:i/>
      <w:iCs/>
      <w:sz w:val="26"/>
      <w:szCs w:val="26"/>
      <w:lang w:eastAsia="it-IT"/>
    </w:rPr>
  </w:style>
  <w:style w:type="paragraph" w:styleId="Corpotesto">
    <w:name w:val="Body Text"/>
    <w:basedOn w:val="Normale"/>
    <w:link w:val="CorpotestoCarattere"/>
    <w:rsid w:val="00E35E98"/>
    <w:pPr>
      <w:jc w:val="both"/>
    </w:pPr>
    <w:rPr>
      <w:sz w:val="22"/>
      <w:szCs w:val="20"/>
    </w:rPr>
  </w:style>
  <w:style w:type="character" w:customStyle="1" w:styleId="CorpotestoCarattere">
    <w:name w:val="Corpo testo Carattere"/>
    <w:basedOn w:val="Carpredefinitoparagrafo"/>
    <w:link w:val="Corpotesto"/>
    <w:rsid w:val="00E35E98"/>
    <w:rPr>
      <w:rFonts w:ascii="Times New Roman" w:eastAsia="Times New Roman" w:hAnsi="Times New Roman" w:cs="Times New Roman"/>
      <w:szCs w:val="20"/>
      <w:lang w:eastAsia="it-IT"/>
    </w:rPr>
  </w:style>
  <w:style w:type="paragraph" w:styleId="Testonotaapidipagina">
    <w:name w:val="footnote text"/>
    <w:basedOn w:val="Normale"/>
    <w:link w:val="TestonotaapidipaginaCarattere"/>
    <w:semiHidden/>
    <w:rsid w:val="00E35E98"/>
    <w:rPr>
      <w:sz w:val="20"/>
      <w:szCs w:val="20"/>
    </w:rPr>
  </w:style>
  <w:style w:type="character" w:customStyle="1" w:styleId="TestonotaapidipaginaCarattere">
    <w:name w:val="Testo nota a piè di pagina Carattere"/>
    <w:basedOn w:val="Carpredefinitoparagrafo"/>
    <w:link w:val="Testonotaapidipagina"/>
    <w:semiHidden/>
    <w:rsid w:val="00E35E98"/>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E35E98"/>
    <w:rPr>
      <w:vertAlign w:val="superscript"/>
    </w:rPr>
  </w:style>
  <w:style w:type="table" w:styleId="Grigliatabella">
    <w:name w:val="Table Grid"/>
    <w:basedOn w:val="Tabellanormale"/>
    <w:rsid w:val="00E35E9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B99D0-2CB6-4905-9F1A-DDED1ADB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10399</Words>
  <Characters>59277</Characters>
  <Application>Microsoft Office Word</Application>
  <DocSecurity>0</DocSecurity>
  <Lines>493</Lines>
  <Paragraphs>139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4</cp:revision>
  <dcterms:created xsi:type="dcterms:W3CDTF">2024-04-30T08:14:00Z</dcterms:created>
  <dcterms:modified xsi:type="dcterms:W3CDTF">2024-05-01T07:58:00Z</dcterms:modified>
</cp:coreProperties>
</file>