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6E7" w:rsidRPr="00F63DA2" w:rsidRDefault="001836E7" w:rsidP="001836E7">
      <w:pPr>
        <w:jc w:val="center"/>
        <w:rPr>
          <w:i/>
          <w:sz w:val="28"/>
          <w:szCs w:val="28"/>
        </w:rPr>
      </w:pPr>
      <w:r w:rsidRPr="00F63DA2">
        <w:rPr>
          <w:i/>
          <w:sz w:val="28"/>
          <w:szCs w:val="28"/>
        </w:rPr>
        <w:t>La scoperta della storicità del fenomeno religioso</w:t>
      </w:r>
    </w:p>
    <w:p w:rsidR="001836E7" w:rsidRDefault="001836E7" w:rsidP="001836E7">
      <w:pPr>
        <w:jc w:val="both"/>
      </w:pPr>
    </w:p>
    <w:p w:rsidR="001836E7" w:rsidRDefault="001836E7" w:rsidP="001836E7">
      <w:pPr>
        <w:jc w:val="both"/>
      </w:pPr>
      <w:r>
        <w:t xml:space="preserve">L’attuale </w:t>
      </w:r>
      <w:proofErr w:type="spellStart"/>
      <w:r>
        <w:t>TdR</w:t>
      </w:r>
      <w:proofErr w:type="spellEnd"/>
      <w:r>
        <w:t xml:space="preserve"> deriva anzitutto dalla percezione di un mutamento epocale che ha cambiato la domanda sul rapporto tra cristianesimo e religioni. </w:t>
      </w:r>
    </w:p>
    <w:p w:rsidR="001836E7" w:rsidRDefault="001836E7" w:rsidP="001836E7">
      <w:pPr>
        <w:jc w:val="both"/>
      </w:pPr>
    </w:p>
    <w:p w:rsidR="001836E7" w:rsidRPr="00DC316B" w:rsidRDefault="001836E7" w:rsidP="001836E7">
      <w:pPr>
        <w:ind w:left="170" w:right="113"/>
        <w:jc w:val="both"/>
        <w:rPr>
          <w:sz w:val="22"/>
        </w:rPr>
      </w:pPr>
      <w:r>
        <w:rPr>
          <w:sz w:val="22"/>
        </w:rPr>
        <w:t>«</w:t>
      </w:r>
      <w:r w:rsidRPr="00DC316B">
        <w:rPr>
          <w:sz w:val="22"/>
        </w:rPr>
        <w:t>La questione di fondo è la seguente: le religioni sono mediazione di salvezza per i loro seguaci? … Si tratta pertanto di definire lo statuto del cristianesimo e delle religioni come realtà socioculturali in relazione con la salvezza dell’uomo. Tale questione non deve essere confusa con quella della salvezza dei singoli…»</w:t>
      </w:r>
      <w:r>
        <w:rPr>
          <w:sz w:val="22"/>
        </w:rPr>
        <w:t xml:space="preserve"> (CTI, </w:t>
      </w:r>
      <w:r w:rsidRPr="00DC316B">
        <w:rPr>
          <w:i/>
          <w:sz w:val="22"/>
        </w:rPr>
        <w:t>Il cristianesimo e le religioni</w:t>
      </w:r>
      <w:r>
        <w:rPr>
          <w:sz w:val="22"/>
        </w:rPr>
        <w:t>, n. 8).</w:t>
      </w:r>
    </w:p>
    <w:p w:rsidR="001836E7" w:rsidRPr="00DC316B" w:rsidRDefault="001836E7" w:rsidP="001836E7">
      <w:pPr>
        <w:ind w:left="170" w:right="113"/>
        <w:jc w:val="both"/>
        <w:rPr>
          <w:sz w:val="22"/>
        </w:rPr>
      </w:pPr>
    </w:p>
    <w:p w:rsidR="001836E7" w:rsidRDefault="001836E7" w:rsidP="001836E7">
      <w:pPr>
        <w:jc w:val="both"/>
      </w:pPr>
      <w:r>
        <w:t xml:space="preserve">La </w:t>
      </w:r>
      <w:r>
        <w:rPr>
          <w:i/>
          <w:iCs/>
        </w:rPr>
        <w:t>domanda</w:t>
      </w:r>
      <w:r>
        <w:t xml:space="preserve"> ha subito la seguente evoluzione:</w:t>
      </w:r>
    </w:p>
    <w:p w:rsidR="001836E7" w:rsidRDefault="001836E7" w:rsidP="001836E7">
      <w:pPr>
        <w:jc w:val="both"/>
      </w:pPr>
    </w:p>
    <w:p w:rsidR="001836E7" w:rsidRDefault="001836E7" w:rsidP="001836E7">
      <w:pPr>
        <w:numPr>
          <w:ilvl w:val="0"/>
          <w:numId w:val="1"/>
        </w:numPr>
        <w:jc w:val="both"/>
        <w:rPr>
          <w:sz w:val="22"/>
        </w:rPr>
      </w:pPr>
      <w:r>
        <w:rPr>
          <w:sz w:val="22"/>
        </w:rPr>
        <w:t xml:space="preserve">Dalla prospettiva </w:t>
      </w:r>
      <w:proofErr w:type="spellStart"/>
      <w:r>
        <w:rPr>
          <w:sz w:val="22"/>
        </w:rPr>
        <w:t>ecclesiocentrica</w:t>
      </w:r>
      <w:proofErr w:type="spellEnd"/>
      <w:r>
        <w:rPr>
          <w:sz w:val="22"/>
        </w:rPr>
        <w:t xml:space="preserve"> che si chiedeva: Come si salvano coloro che vivono al di fuori della Chiesa e della fede cristiana? (prospettiva apologetica) – per la retta intenzione e la buona fede personale, nonostante le religioni di appartenenza;</w:t>
      </w:r>
    </w:p>
    <w:p w:rsidR="001836E7" w:rsidRDefault="001836E7" w:rsidP="001836E7">
      <w:pPr>
        <w:numPr>
          <w:ilvl w:val="0"/>
          <w:numId w:val="1"/>
        </w:numPr>
        <w:jc w:val="both"/>
        <w:rPr>
          <w:sz w:val="22"/>
        </w:rPr>
      </w:pPr>
      <w:r>
        <w:rPr>
          <w:sz w:val="22"/>
        </w:rPr>
        <w:t xml:space="preserve">Alla domanda cristocentrica: vi sono elementi positivi nelle altre religioni? Sono dono di Dio? Come contribuiscono alla salvezza dei loro membri? (prospettiva di apertura e riconoscimento) – </w:t>
      </w:r>
      <w:smartTag w:uri="urn:schemas-microsoft-com:office:smarttags" w:element="PersonName">
        <w:smartTagPr>
          <w:attr w:name="ProductID" w:val="la Chiesa"/>
        </w:smartTagPr>
        <w:r>
          <w:rPr>
            <w:sz w:val="22"/>
          </w:rPr>
          <w:t>la Chiesa</w:t>
        </w:r>
      </w:smartTag>
      <w:r>
        <w:rPr>
          <w:sz w:val="22"/>
        </w:rPr>
        <w:t xml:space="preserve"> riconosce nelle religioni elementi positivi, valori comuni e segni della grazia, per cui queste religioni sono utili ai membri di appartenenza come guida verso Dio e apertura all’annuncio evangelico (</w:t>
      </w:r>
      <w:proofErr w:type="spellStart"/>
      <w:r>
        <w:rPr>
          <w:i/>
          <w:iCs/>
          <w:sz w:val="22"/>
        </w:rPr>
        <w:t>praeparatio</w:t>
      </w:r>
      <w:proofErr w:type="spellEnd"/>
      <w:r>
        <w:rPr>
          <w:i/>
          <w:iCs/>
          <w:sz w:val="22"/>
        </w:rPr>
        <w:t xml:space="preserve"> evangelica</w:t>
      </w:r>
      <w:r>
        <w:rPr>
          <w:sz w:val="22"/>
        </w:rPr>
        <w:t>)</w:t>
      </w:r>
    </w:p>
    <w:p w:rsidR="001836E7" w:rsidRDefault="001836E7" w:rsidP="001836E7">
      <w:pPr>
        <w:numPr>
          <w:ilvl w:val="0"/>
          <w:numId w:val="1"/>
        </w:numPr>
        <w:jc w:val="both"/>
        <w:rPr>
          <w:sz w:val="22"/>
        </w:rPr>
      </w:pPr>
      <w:r>
        <w:rPr>
          <w:sz w:val="22"/>
        </w:rPr>
        <w:t xml:space="preserve">Alla domanda pluralista e teocentrica: Qual è il senso e il valore delle diverse religioni (pluralismo religioso) nel piano di Dio? (prospettiva dialogica) – non solo le religioni hanno elementi positivi, non solo possono essere segni di salvezza per i loro membri, ma hanno un valore salvifico permanente (e quindi autonomo) che converge con altre vie di salvezza nell’unico disegno divino </w:t>
      </w:r>
    </w:p>
    <w:p w:rsidR="001836E7" w:rsidRDefault="001836E7" w:rsidP="001836E7">
      <w:pPr>
        <w:jc w:val="both"/>
      </w:pPr>
    </w:p>
    <w:p w:rsidR="001836E7" w:rsidRDefault="001836E7" w:rsidP="001836E7">
      <w:pPr>
        <w:jc w:val="center"/>
      </w:pPr>
      <w:r>
        <w:t xml:space="preserve">1. </w:t>
      </w:r>
      <w:r w:rsidRPr="00DB4EAD">
        <w:rPr>
          <w:i/>
        </w:rPr>
        <w:t>Storicità dei rapporti tra le religioni: alcuni indizi significativi</w:t>
      </w:r>
      <w:r>
        <w:t>.</w:t>
      </w:r>
    </w:p>
    <w:p w:rsidR="001836E7" w:rsidRDefault="001836E7" w:rsidP="001836E7">
      <w:pPr>
        <w:jc w:val="both"/>
      </w:pPr>
    </w:p>
    <w:p w:rsidR="001836E7" w:rsidRDefault="001836E7" w:rsidP="001836E7">
      <w:pPr>
        <w:jc w:val="both"/>
      </w:pPr>
      <w:r w:rsidRPr="00CA5DD2">
        <w:rPr>
          <w:i/>
        </w:rPr>
        <w:t>(a)</w:t>
      </w:r>
      <w:r>
        <w:t xml:space="preserve"> Questo mutamento della domanda che guida l’interpretazione del rapporto tra le religioni presuppone e rivela in qualche modo la </w:t>
      </w:r>
      <w:r>
        <w:rPr>
          <w:i/>
          <w:iCs/>
        </w:rPr>
        <w:t>storicità del rapporto</w:t>
      </w:r>
      <w:r>
        <w:t xml:space="preserve"> tra </w:t>
      </w:r>
      <w:smartTag w:uri="urn:schemas-microsoft-com:office:smarttags" w:element="PersonName">
        <w:smartTagPr>
          <w:attr w:name="ProductID" w:val="la Chiesa"/>
        </w:smartTagPr>
        <w:r>
          <w:t>la Chiesa</w:t>
        </w:r>
      </w:smartTag>
      <w:r>
        <w:t xml:space="preserve"> e le religioni. Ciò significa che il rapporto dei cristiani con le altre religioni non è inquadrabile in un unico schema, poiché presenta di fatto diverse figure, a seconda delle epoche storiche in cui </w:t>
      </w:r>
      <w:smartTag w:uri="urn:schemas-microsoft-com:office:smarttags" w:element="PersonName">
        <w:smartTagPr>
          <w:attr w:name="ProductID" w:val="la Chiesa"/>
        </w:smartTagPr>
        <w:r>
          <w:t>la Chiesa</w:t>
        </w:r>
      </w:smartTag>
      <w:r>
        <w:t xml:space="preserve"> ha vissuta. Basti a titolo di esempio questa classificazione proposta da </w:t>
      </w:r>
      <w:r w:rsidRPr="00BB3ADA">
        <w:rPr>
          <w:i/>
        </w:rPr>
        <w:t xml:space="preserve">R. </w:t>
      </w:r>
      <w:proofErr w:type="spellStart"/>
      <w:r w:rsidRPr="00BB3ADA">
        <w:rPr>
          <w:i/>
        </w:rPr>
        <w:t>Panikkar</w:t>
      </w:r>
      <w:proofErr w:type="spellEnd"/>
      <w:r>
        <w:t xml:space="preserve">: </w:t>
      </w:r>
    </w:p>
    <w:p w:rsidR="001836E7" w:rsidRDefault="001836E7" w:rsidP="001836E7">
      <w:pPr>
        <w:jc w:val="both"/>
        <w:rPr>
          <w:sz w:val="22"/>
        </w:rPr>
      </w:pPr>
    </w:p>
    <w:p w:rsidR="001836E7" w:rsidRDefault="001836E7" w:rsidP="001836E7">
      <w:pPr>
        <w:pStyle w:val="Corpotesto"/>
        <w:ind w:left="170" w:right="170"/>
      </w:pPr>
      <w:r>
        <w:t xml:space="preserve">1. La </w:t>
      </w:r>
      <w:r>
        <w:rPr>
          <w:i/>
          <w:iCs/>
        </w:rPr>
        <w:t>testimonianza</w:t>
      </w:r>
      <w:r>
        <w:t>: dalle origini alla caduta di Roma (410) o alla morte di Agostino (430)</w:t>
      </w:r>
    </w:p>
    <w:p w:rsidR="001836E7" w:rsidRDefault="001836E7" w:rsidP="001836E7">
      <w:pPr>
        <w:ind w:left="170" w:right="170"/>
        <w:jc w:val="both"/>
        <w:rPr>
          <w:sz w:val="22"/>
        </w:rPr>
      </w:pPr>
      <w:r>
        <w:rPr>
          <w:sz w:val="22"/>
        </w:rPr>
        <w:t xml:space="preserve">2. La </w:t>
      </w:r>
      <w:r>
        <w:rPr>
          <w:i/>
          <w:iCs/>
          <w:sz w:val="22"/>
        </w:rPr>
        <w:t>conversione</w:t>
      </w:r>
      <w:r>
        <w:rPr>
          <w:sz w:val="22"/>
        </w:rPr>
        <w:t>: dal periodo delle migrazioni dei barbari nell’area dell’impero romano al Medioevo (</w:t>
      </w:r>
      <w:proofErr w:type="spellStart"/>
      <w:r>
        <w:rPr>
          <w:sz w:val="22"/>
        </w:rPr>
        <w:t>esserecristiano</w:t>
      </w:r>
      <w:proofErr w:type="spellEnd"/>
      <w:r>
        <w:rPr>
          <w:sz w:val="22"/>
        </w:rPr>
        <w:t xml:space="preserve"> significa convertirsi a Cristo)</w:t>
      </w:r>
    </w:p>
    <w:p w:rsidR="001836E7" w:rsidRDefault="001836E7" w:rsidP="001836E7">
      <w:pPr>
        <w:ind w:left="170" w:right="170"/>
        <w:jc w:val="both"/>
        <w:rPr>
          <w:sz w:val="22"/>
        </w:rPr>
      </w:pPr>
      <w:r>
        <w:rPr>
          <w:sz w:val="22"/>
        </w:rPr>
        <w:t xml:space="preserve">3. Le </w:t>
      </w:r>
      <w:r>
        <w:rPr>
          <w:i/>
          <w:iCs/>
          <w:sz w:val="22"/>
        </w:rPr>
        <w:t>crociate</w:t>
      </w:r>
      <w:r>
        <w:rPr>
          <w:sz w:val="22"/>
        </w:rPr>
        <w:t xml:space="preserve">: dallo scontro con l’Islam alla difesa interna dell’organizzazione ecclesiale contro le </w:t>
      </w:r>
      <w:proofErr w:type="spellStart"/>
      <w:r>
        <w:rPr>
          <w:sz w:val="22"/>
        </w:rPr>
        <w:t>sètte</w:t>
      </w:r>
      <w:proofErr w:type="spellEnd"/>
      <w:r>
        <w:rPr>
          <w:sz w:val="22"/>
        </w:rPr>
        <w:t xml:space="preserve"> e le eresie medievali (dall’VIII secolo al 1492: riconquista della Spagna contro i musulmani; decreto di espulsione degli ebrei; scoperta delle Americhe)</w:t>
      </w:r>
    </w:p>
    <w:p w:rsidR="001836E7" w:rsidRDefault="001836E7" w:rsidP="001836E7">
      <w:pPr>
        <w:ind w:left="170" w:right="170"/>
        <w:jc w:val="both"/>
        <w:rPr>
          <w:sz w:val="22"/>
        </w:rPr>
      </w:pPr>
      <w:r>
        <w:rPr>
          <w:sz w:val="22"/>
        </w:rPr>
        <w:t xml:space="preserve">4. La </w:t>
      </w:r>
      <w:r>
        <w:rPr>
          <w:i/>
          <w:iCs/>
          <w:sz w:val="22"/>
        </w:rPr>
        <w:t>missione</w:t>
      </w:r>
      <w:r>
        <w:rPr>
          <w:sz w:val="22"/>
        </w:rPr>
        <w:t>: dalla scoperta delle Nuove Terre alla fine del dominio coloniale (il vero cristiano e missionario)</w:t>
      </w:r>
    </w:p>
    <w:p w:rsidR="001836E7" w:rsidRDefault="001836E7" w:rsidP="001836E7">
      <w:pPr>
        <w:ind w:left="170" w:right="170"/>
        <w:jc w:val="both"/>
        <w:rPr>
          <w:sz w:val="22"/>
        </w:rPr>
      </w:pPr>
      <w:r>
        <w:rPr>
          <w:sz w:val="22"/>
        </w:rPr>
        <w:t xml:space="preserve">5. Il </w:t>
      </w:r>
      <w:r>
        <w:rPr>
          <w:i/>
          <w:iCs/>
          <w:sz w:val="22"/>
        </w:rPr>
        <w:t>dialogo</w:t>
      </w:r>
      <w:r>
        <w:rPr>
          <w:sz w:val="22"/>
        </w:rPr>
        <w:t>: epoca attuale, caratterizzata da globalizzazione e pluralismo</w:t>
      </w:r>
      <w:r w:rsidRPr="00700403">
        <w:rPr>
          <w:rStyle w:val="Rimandonotaapidipagina"/>
          <w:sz w:val="20"/>
          <w:szCs w:val="20"/>
        </w:rPr>
        <w:footnoteReference w:id="1"/>
      </w:r>
      <w:r>
        <w:rPr>
          <w:sz w:val="22"/>
        </w:rPr>
        <w:t>.</w:t>
      </w:r>
    </w:p>
    <w:p w:rsidR="001836E7" w:rsidRDefault="001836E7" w:rsidP="001836E7">
      <w:pPr>
        <w:jc w:val="both"/>
      </w:pPr>
    </w:p>
    <w:p w:rsidR="001836E7" w:rsidRDefault="001836E7" w:rsidP="001836E7">
      <w:pPr>
        <w:jc w:val="both"/>
      </w:pPr>
      <w:r>
        <w:t xml:space="preserve">Si noti che testimonianza, conversione, confessione militante (crociate come pellegrinaggio), missione e dialogo sono dimensioni irrinunciabili della fede, che però trovano differenti accentuazioni nelle varie epoche. Questa semplice classificazione ci fa intuire che non esiste un’espressione univoca e atemporale capace di dire la relazione con le altre religione. </w:t>
      </w:r>
    </w:p>
    <w:p w:rsidR="001836E7" w:rsidRDefault="001836E7" w:rsidP="001836E7">
      <w:pPr>
        <w:jc w:val="both"/>
      </w:pPr>
    </w:p>
    <w:p w:rsidR="001836E7" w:rsidRDefault="00B26574" w:rsidP="001836E7">
      <w:pPr>
        <w:jc w:val="both"/>
      </w:pPr>
      <w:r>
        <w:rPr>
          <w:i/>
        </w:rPr>
        <w:t>(b</w:t>
      </w:r>
      <w:r w:rsidR="001836E7" w:rsidRPr="00CA5DD2">
        <w:rPr>
          <w:i/>
        </w:rPr>
        <w:t>)</w:t>
      </w:r>
      <w:r w:rsidR="001836E7">
        <w:t xml:space="preserve"> </w:t>
      </w:r>
      <w:r w:rsidR="001F5D4A">
        <w:t xml:space="preserve">Una </w:t>
      </w:r>
      <w:r w:rsidR="001836E7">
        <w:t xml:space="preserve">ricca e documentata analisi dei mutamenti di rapporto tra cristianesimo e religioni è quella offerta dall’importante studio di </w:t>
      </w:r>
      <w:r w:rsidR="001836E7" w:rsidRPr="0072431D">
        <w:rPr>
          <w:i/>
        </w:rPr>
        <w:t>J. Ries</w:t>
      </w:r>
      <w:r w:rsidR="001836E7" w:rsidRPr="00700403">
        <w:rPr>
          <w:rStyle w:val="Rimandonotaapidipagina"/>
          <w:sz w:val="22"/>
          <w:szCs w:val="22"/>
        </w:rPr>
        <w:footnoteReference w:id="2"/>
      </w:r>
      <w:r w:rsidR="001836E7">
        <w:t xml:space="preserve">. Egli distingue quattro grandi epoche: </w:t>
      </w:r>
    </w:p>
    <w:p w:rsidR="001836E7" w:rsidRDefault="001836E7" w:rsidP="001836E7">
      <w:pPr>
        <w:jc w:val="both"/>
      </w:pPr>
    </w:p>
    <w:p w:rsidR="001836E7" w:rsidRPr="00892D74" w:rsidRDefault="001836E7" w:rsidP="001836E7">
      <w:pPr>
        <w:ind w:left="170" w:right="113"/>
        <w:jc w:val="both"/>
        <w:rPr>
          <w:sz w:val="22"/>
        </w:rPr>
      </w:pPr>
      <w:r w:rsidRPr="00892D74">
        <w:rPr>
          <w:sz w:val="22"/>
        </w:rPr>
        <w:t xml:space="preserve">1) </w:t>
      </w:r>
      <w:r w:rsidRPr="00892D74">
        <w:rPr>
          <w:i/>
          <w:sz w:val="22"/>
        </w:rPr>
        <w:t>Dagli Atti degli Apostoli al De Civitate Dei (412-420) di Agostino</w:t>
      </w:r>
      <w:r w:rsidRPr="00892D74">
        <w:rPr>
          <w:sz w:val="22"/>
        </w:rPr>
        <w:t>. Il confronto è tra cristiani, ebrei e pagani, a cui si aggiungeranno poi lo gnosticismo e il manicheismo. Lo stile è quello dell’apologia, sia nei confronti degli ebrei che riguardo alla cultura ellenistica e romana. Diversa è però la situazione nel confronto con la cultura ellenistica all’inizio del movimento cristiano e il confronto con l’Impero nel periodo d</w:t>
      </w:r>
      <w:r>
        <w:rPr>
          <w:sz w:val="22"/>
        </w:rPr>
        <w:t xml:space="preserve">elle persecuzioni, prima, e </w:t>
      </w:r>
      <w:r w:rsidRPr="00892D74">
        <w:rPr>
          <w:sz w:val="22"/>
        </w:rPr>
        <w:t>in quello della svolta costantiniana</w:t>
      </w:r>
      <w:r>
        <w:rPr>
          <w:sz w:val="22"/>
        </w:rPr>
        <w:t>, poi</w:t>
      </w:r>
      <w:r w:rsidRPr="00892D74">
        <w:rPr>
          <w:sz w:val="22"/>
        </w:rPr>
        <w:t>. I fronti sono quelli dell’idolatria</w:t>
      </w:r>
      <w:r>
        <w:rPr>
          <w:sz w:val="22"/>
        </w:rPr>
        <w:t xml:space="preserve"> (condannata come frutto dei demoni, espressione della divinizzazione di eroi, identificazione errata di qualità divine e quindi da interpretare allegoricamente per far emergere verità più profonde)</w:t>
      </w:r>
      <w:r w:rsidRPr="00892D74">
        <w:rPr>
          <w:sz w:val="22"/>
        </w:rPr>
        <w:t>, dei miti (e del culto</w:t>
      </w:r>
      <w:r>
        <w:rPr>
          <w:sz w:val="22"/>
        </w:rPr>
        <w:t>: complessivamente condannati come iniqui e corruttori dei costumi, al punto da essere la causa della decadenza dell’Impero</w:t>
      </w:r>
      <w:r w:rsidRPr="00892D74">
        <w:rPr>
          <w:sz w:val="22"/>
        </w:rPr>
        <w:t xml:space="preserve">), del </w:t>
      </w:r>
      <w:r w:rsidRPr="00892D74">
        <w:rPr>
          <w:i/>
          <w:sz w:val="22"/>
        </w:rPr>
        <w:t>logos</w:t>
      </w:r>
      <w:r>
        <w:rPr>
          <w:sz w:val="22"/>
        </w:rPr>
        <w:t xml:space="preserve"> (valutato positivamente come </w:t>
      </w:r>
      <w:proofErr w:type="spellStart"/>
      <w:r w:rsidRPr="00892D74">
        <w:rPr>
          <w:i/>
          <w:sz w:val="22"/>
        </w:rPr>
        <w:t>praeparatio</w:t>
      </w:r>
      <w:proofErr w:type="spellEnd"/>
      <w:r w:rsidRPr="00892D74">
        <w:rPr>
          <w:i/>
          <w:sz w:val="22"/>
        </w:rPr>
        <w:t xml:space="preserve"> evangelica</w:t>
      </w:r>
      <w:r>
        <w:rPr>
          <w:sz w:val="22"/>
        </w:rPr>
        <w:t xml:space="preserve">, seme o frammento parziale del </w:t>
      </w:r>
      <w:r w:rsidRPr="00531617">
        <w:rPr>
          <w:i/>
          <w:sz w:val="22"/>
        </w:rPr>
        <w:t>Logos</w:t>
      </w:r>
      <w:r>
        <w:rPr>
          <w:sz w:val="22"/>
        </w:rPr>
        <w:t xml:space="preserve"> pienamente manifestato in Gesù, via della rivelazione accanto all’AT).</w:t>
      </w:r>
      <w:r w:rsidRPr="00892D74">
        <w:rPr>
          <w:sz w:val="22"/>
        </w:rPr>
        <w:t xml:space="preserve"> Il tema della salvezza </w:t>
      </w:r>
      <w:r w:rsidRPr="00892D74">
        <w:rPr>
          <w:i/>
          <w:sz w:val="22"/>
        </w:rPr>
        <w:t>(</w:t>
      </w:r>
      <w:proofErr w:type="spellStart"/>
      <w:r>
        <w:rPr>
          <w:i/>
          <w:sz w:val="22"/>
        </w:rPr>
        <w:t>so</w:t>
      </w:r>
      <w:r w:rsidRPr="00892D74">
        <w:rPr>
          <w:i/>
          <w:sz w:val="22"/>
        </w:rPr>
        <w:t>terìa</w:t>
      </w:r>
      <w:proofErr w:type="spellEnd"/>
      <w:r w:rsidRPr="00892D74">
        <w:rPr>
          <w:i/>
          <w:sz w:val="22"/>
        </w:rPr>
        <w:t>)</w:t>
      </w:r>
      <w:r w:rsidRPr="00892D74">
        <w:rPr>
          <w:sz w:val="22"/>
        </w:rPr>
        <w:t xml:space="preserve">, già presente nel mondo pagano, è accentuato nel confronto con </w:t>
      </w:r>
      <w:r>
        <w:rPr>
          <w:sz w:val="22"/>
        </w:rPr>
        <w:t xml:space="preserve">lo gnosticismo e il manicheismo, in cui però </w:t>
      </w:r>
      <w:smartTag w:uri="urn:schemas-microsoft-com:office:smarttags" w:element="PersonName">
        <w:smartTagPr>
          <w:attr w:name="ProductID" w:val="la Chiesa"/>
        </w:smartTagPr>
        <w:r>
          <w:rPr>
            <w:sz w:val="22"/>
          </w:rPr>
          <w:t>la Chiesa</w:t>
        </w:r>
      </w:smartTag>
      <w:r>
        <w:rPr>
          <w:sz w:val="22"/>
        </w:rPr>
        <w:t xml:space="preserve"> si impegna in tono polemico e squalificante (menzogne, favole, illusioni).</w:t>
      </w:r>
    </w:p>
    <w:p w:rsidR="001836E7" w:rsidRPr="00892D74" w:rsidRDefault="001836E7" w:rsidP="001836E7">
      <w:pPr>
        <w:ind w:left="170" w:right="113"/>
        <w:jc w:val="both"/>
        <w:rPr>
          <w:sz w:val="22"/>
        </w:rPr>
      </w:pPr>
    </w:p>
    <w:p w:rsidR="001836E7" w:rsidRPr="00892D74" w:rsidRDefault="001836E7" w:rsidP="001836E7">
      <w:pPr>
        <w:ind w:left="170" w:right="113"/>
        <w:jc w:val="both"/>
        <w:rPr>
          <w:sz w:val="22"/>
        </w:rPr>
      </w:pPr>
      <w:r w:rsidRPr="00892D74">
        <w:rPr>
          <w:sz w:val="22"/>
        </w:rPr>
        <w:t xml:space="preserve">2) </w:t>
      </w:r>
      <w:r w:rsidRPr="00892D74">
        <w:rPr>
          <w:i/>
          <w:sz w:val="22"/>
        </w:rPr>
        <w:t>Dalle grandi invasioni (V secolo) alla caduta di Costantinopoli (1453)</w:t>
      </w:r>
      <w:r w:rsidRPr="00892D74">
        <w:rPr>
          <w:sz w:val="22"/>
        </w:rPr>
        <w:t>. Abbiamo quattro fronti: il confronto coi popoli barbari, tra sforzo missionario e custodia della cultura classica</w:t>
      </w:r>
      <w:r>
        <w:rPr>
          <w:sz w:val="22"/>
        </w:rPr>
        <w:t xml:space="preserve"> (in cui però rimane il giudizio negativo sulle religioni pagane e i loro miti)</w:t>
      </w:r>
      <w:r w:rsidRPr="00892D74">
        <w:rPr>
          <w:sz w:val="22"/>
        </w:rPr>
        <w:t xml:space="preserve">; l’incontro con l’Islam nascente (dal tono iniziale polemico di Giovanni Damasceno e Niceta di Bisanzio, che vi vedono un’eresia o errore dottrinale non credibile; all’interesse dialogico di Pietro il Venerabile, Raimondo da </w:t>
      </w:r>
      <w:proofErr w:type="spellStart"/>
      <w:r w:rsidRPr="00892D74">
        <w:rPr>
          <w:sz w:val="22"/>
        </w:rPr>
        <w:t>Pañefort</w:t>
      </w:r>
      <w:proofErr w:type="spellEnd"/>
      <w:r w:rsidRPr="00892D74">
        <w:rPr>
          <w:sz w:val="22"/>
        </w:rPr>
        <w:t xml:space="preserve"> e Raimondo Lullo nel XII secolo; allo scontro aperto delle Crociate); le relazioni con gli ebrei (apologia polemica; legislazioni penalizzanti e antisemite, che dalle restrizioni amministrative, attraverso l’</w:t>
      </w:r>
      <w:proofErr w:type="spellStart"/>
      <w:r w:rsidRPr="00892D74">
        <w:rPr>
          <w:sz w:val="22"/>
        </w:rPr>
        <w:t>èra</w:t>
      </w:r>
      <w:proofErr w:type="spellEnd"/>
      <w:r w:rsidRPr="00892D74">
        <w:rPr>
          <w:sz w:val="22"/>
        </w:rPr>
        <w:t xml:space="preserve"> dei ghetti, porta all’espulsione degli ebrei dai regni cristiani: «o la conversione o l’esilio»); lo scontro con le eresie dualiste medievali (Catari e Albigesi) e la repressione dell’Inquisizione. </w:t>
      </w:r>
    </w:p>
    <w:p w:rsidR="001836E7" w:rsidRPr="00892D74" w:rsidRDefault="001836E7" w:rsidP="001836E7">
      <w:pPr>
        <w:ind w:left="170" w:right="113"/>
        <w:jc w:val="both"/>
        <w:rPr>
          <w:sz w:val="22"/>
        </w:rPr>
      </w:pPr>
    </w:p>
    <w:p w:rsidR="001836E7" w:rsidRPr="00892D74" w:rsidRDefault="001836E7" w:rsidP="001836E7">
      <w:pPr>
        <w:ind w:left="170" w:right="113"/>
        <w:jc w:val="both"/>
        <w:rPr>
          <w:sz w:val="22"/>
        </w:rPr>
      </w:pPr>
      <w:r w:rsidRPr="00892D74">
        <w:rPr>
          <w:sz w:val="22"/>
        </w:rPr>
        <w:t xml:space="preserve">3) </w:t>
      </w:r>
      <w:r w:rsidRPr="00892D74">
        <w:rPr>
          <w:i/>
          <w:sz w:val="22"/>
        </w:rPr>
        <w:t>Dalla scoperta del Nuovo Mondo (1492) alla fondazione delle Cattedre di Storia delle Religioni (1876-80: in Olanda, Germania e Francia)</w:t>
      </w:r>
      <w:r w:rsidRPr="00892D74">
        <w:rPr>
          <w:sz w:val="22"/>
        </w:rPr>
        <w:t>. Questo periodo si caratterizza per un profondo mutamento nella considerazione delle religioni. Distinguiamo quattro fronti del rapporto tra religioni. Anzitutto un nuovo sguardo sulle religioni, i miti e la sapienza pagana iniziato nell’ambi</w:t>
      </w:r>
      <w:r>
        <w:rPr>
          <w:sz w:val="22"/>
        </w:rPr>
        <w:t>to dell’umanesimo rinascimentale</w:t>
      </w:r>
      <w:r w:rsidRPr="00892D74">
        <w:rPr>
          <w:sz w:val="22"/>
        </w:rPr>
        <w:t xml:space="preserve"> e neoplatonico di Marsilio </w:t>
      </w:r>
      <w:proofErr w:type="spellStart"/>
      <w:r w:rsidRPr="00892D74">
        <w:rPr>
          <w:sz w:val="22"/>
        </w:rPr>
        <w:t>Ficino</w:t>
      </w:r>
      <w:proofErr w:type="spellEnd"/>
      <w:r w:rsidRPr="00892D74">
        <w:rPr>
          <w:sz w:val="22"/>
        </w:rPr>
        <w:t>, Pico della Mirandola, sviluppato nella visione storico-ermeneutica di G.B. Vico, ripreso dall’Illuminism</w:t>
      </w:r>
      <w:r>
        <w:rPr>
          <w:sz w:val="22"/>
        </w:rPr>
        <w:t>o e dal Romanticismo</w:t>
      </w:r>
      <w:r w:rsidRPr="00892D74">
        <w:rPr>
          <w:sz w:val="22"/>
        </w:rPr>
        <w:t xml:space="preserve">. In secondo luogo cambia la questione della salvezza dei pagani di fronte alle scoperte del Nuovo Mondo (1492): quale tipo di fede è necessaria e sufficiente per la salvezza (Suarez, Domenico </w:t>
      </w:r>
      <w:proofErr w:type="spellStart"/>
      <w:r w:rsidRPr="00892D74">
        <w:rPr>
          <w:sz w:val="22"/>
        </w:rPr>
        <w:t>Soto</w:t>
      </w:r>
      <w:proofErr w:type="spellEnd"/>
      <w:r w:rsidRPr="00892D74">
        <w:rPr>
          <w:sz w:val="22"/>
        </w:rPr>
        <w:t xml:space="preserve">)? Intanto le missioni si interrogano sul metodo dell’inculturazione, trovandosi a contatto con le grandi culture asiatiche (la questione dei riti con M. Ricci). In questo mutato contesto non pare però che cambino molto i </w:t>
      </w:r>
      <w:r>
        <w:rPr>
          <w:sz w:val="22"/>
        </w:rPr>
        <w:t>tormentati</w:t>
      </w:r>
      <w:r w:rsidRPr="00892D74">
        <w:rPr>
          <w:sz w:val="22"/>
        </w:rPr>
        <w:t xml:space="preserve"> ra</w:t>
      </w:r>
      <w:r>
        <w:rPr>
          <w:sz w:val="22"/>
        </w:rPr>
        <w:t>p</w:t>
      </w:r>
      <w:r w:rsidRPr="00892D74">
        <w:rPr>
          <w:sz w:val="22"/>
        </w:rPr>
        <w:t>porti tra cristiani ed ebrei, mentre qualche segno di dialogo emerge n</w:t>
      </w:r>
      <w:r>
        <w:rPr>
          <w:sz w:val="22"/>
        </w:rPr>
        <w:t>el rapporto con l’Islam (Niccolò</w:t>
      </w:r>
      <w:r w:rsidRPr="00892D74">
        <w:rPr>
          <w:sz w:val="22"/>
        </w:rPr>
        <w:t xml:space="preserve"> Cusano), in cui il de</w:t>
      </w:r>
      <w:r>
        <w:rPr>
          <w:sz w:val="22"/>
        </w:rPr>
        <w:t>is</w:t>
      </w:r>
      <w:r w:rsidRPr="00892D74">
        <w:rPr>
          <w:sz w:val="22"/>
        </w:rPr>
        <w:t xml:space="preserve">mo </w:t>
      </w:r>
      <w:r>
        <w:rPr>
          <w:sz w:val="22"/>
        </w:rPr>
        <w:t>europeo della fine del ‘600 esalterà una religione senza dogmi</w:t>
      </w:r>
      <w:r w:rsidRPr="00892D74">
        <w:rPr>
          <w:sz w:val="22"/>
        </w:rPr>
        <w:t xml:space="preserve">. Infine nel cristianesimo si impone un nuovo sguardo sul patrimonio religioso dell’umanità, che spingerà i migliori ingegni a riconsiderare in una nuova prospettiva le diverse religioni (J.H. </w:t>
      </w:r>
      <w:proofErr w:type="spellStart"/>
      <w:r w:rsidRPr="00892D74">
        <w:rPr>
          <w:sz w:val="22"/>
        </w:rPr>
        <w:t>Newmann</w:t>
      </w:r>
      <w:proofErr w:type="spellEnd"/>
      <w:r w:rsidRPr="00892D74">
        <w:rPr>
          <w:sz w:val="22"/>
        </w:rPr>
        <w:t xml:space="preserve"> studia il rapporto tra cristianesimo e religioni nella storia della salvezza, mentre M. Müller introduce lo studio comparato delle religioni). </w:t>
      </w:r>
    </w:p>
    <w:p w:rsidR="001836E7" w:rsidRPr="00892D74" w:rsidRDefault="001836E7" w:rsidP="001836E7">
      <w:pPr>
        <w:ind w:left="170" w:right="113"/>
        <w:jc w:val="both"/>
        <w:rPr>
          <w:sz w:val="22"/>
        </w:rPr>
      </w:pPr>
    </w:p>
    <w:p w:rsidR="001836E7" w:rsidRPr="00892D74" w:rsidRDefault="001836E7" w:rsidP="001836E7">
      <w:pPr>
        <w:ind w:left="170" w:right="113"/>
        <w:jc w:val="both"/>
        <w:rPr>
          <w:sz w:val="22"/>
        </w:rPr>
      </w:pPr>
      <w:r w:rsidRPr="00892D74">
        <w:rPr>
          <w:sz w:val="22"/>
        </w:rPr>
        <w:t xml:space="preserve">4) </w:t>
      </w:r>
      <w:r w:rsidRPr="00892D74">
        <w:rPr>
          <w:i/>
          <w:sz w:val="22"/>
        </w:rPr>
        <w:t>Dal Parlamento delle Religioni di Chicago (1893) all’incontro di Assisi del 1986</w:t>
      </w:r>
      <w:r w:rsidRPr="00892D74">
        <w:rPr>
          <w:sz w:val="22"/>
        </w:rPr>
        <w:t>. Quattro elementi caratterizzano questo periodo: un nuovo confronto tra religioni nell’ambito della ricerca comparata delle scienze delle religioni (la scoperta del «sacro» come terreno di incontro e confronto); diverse opportunità di incontro diretto tra religioni, a partire dal Parlamento delle religioni di Chicago</w:t>
      </w:r>
      <w:r>
        <w:rPr>
          <w:sz w:val="22"/>
        </w:rPr>
        <w:t>,</w:t>
      </w:r>
      <w:r w:rsidRPr="00892D74">
        <w:rPr>
          <w:sz w:val="22"/>
        </w:rPr>
        <w:t xml:space="preserve"> fino alle varie forme di dialogo bilaterale (cristiani ed ebrei; cristiani e musulmani; cristiani e induisti</w:t>
      </w:r>
      <w:r>
        <w:rPr>
          <w:sz w:val="22"/>
        </w:rPr>
        <w:t xml:space="preserve"> o buddisti</w:t>
      </w:r>
      <w:r w:rsidRPr="00892D74">
        <w:rPr>
          <w:sz w:val="22"/>
        </w:rPr>
        <w:t>)</w:t>
      </w:r>
      <w:r>
        <w:rPr>
          <w:sz w:val="22"/>
        </w:rPr>
        <w:t>.</w:t>
      </w:r>
      <w:r w:rsidRPr="00892D74">
        <w:rPr>
          <w:sz w:val="22"/>
        </w:rPr>
        <w:t xml:space="preserve"> </w:t>
      </w:r>
      <w:r>
        <w:rPr>
          <w:sz w:val="22"/>
        </w:rPr>
        <w:t>Un’ulteriore svolta sul versante cattolico è rappresentata dal</w:t>
      </w:r>
      <w:r w:rsidRPr="00892D74">
        <w:rPr>
          <w:sz w:val="22"/>
        </w:rPr>
        <w:t xml:space="preserve"> Vaticano II</w:t>
      </w:r>
      <w:r>
        <w:rPr>
          <w:sz w:val="22"/>
        </w:rPr>
        <w:t xml:space="preserve">, che considera i valori e le cose sante presenti in altre religioni. Infine </w:t>
      </w:r>
      <w:r w:rsidRPr="00892D74">
        <w:rPr>
          <w:sz w:val="22"/>
        </w:rPr>
        <w:t>emerge</w:t>
      </w:r>
      <w:r>
        <w:rPr>
          <w:sz w:val="22"/>
        </w:rPr>
        <w:t xml:space="preserve"> </w:t>
      </w:r>
      <w:r w:rsidRPr="00892D74">
        <w:rPr>
          <w:sz w:val="22"/>
        </w:rPr>
        <w:t>l’esigenza del dialogo nell’ambito di una Teologia delle Religioni</w:t>
      </w:r>
      <w:r>
        <w:rPr>
          <w:sz w:val="22"/>
        </w:rPr>
        <w:t xml:space="preserve"> di impostazione pluralista</w:t>
      </w:r>
      <w:r w:rsidRPr="00892D74">
        <w:rPr>
          <w:sz w:val="22"/>
        </w:rPr>
        <w:t>.</w:t>
      </w:r>
    </w:p>
    <w:p w:rsidR="001836E7" w:rsidRDefault="001836E7" w:rsidP="001836E7">
      <w:pPr>
        <w:jc w:val="both"/>
      </w:pPr>
    </w:p>
    <w:p w:rsidR="001836E7" w:rsidRDefault="00B26574" w:rsidP="001836E7">
      <w:pPr>
        <w:jc w:val="both"/>
      </w:pPr>
      <w:r>
        <w:rPr>
          <w:i/>
        </w:rPr>
        <w:t>(c</w:t>
      </w:r>
      <w:r w:rsidR="001836E7" w:rsidRPr="00CA5DD2">
        <w:rPr>
          <w:i/>
        </w:rPr>
        <w:t>)</w:t>
      </w:r>
      <w:r w:rsidR="001836E7">
        <w:t xml:space="preserve"> Infine può ben documentare la storicità dei rapporti tra cristianesimo e religioni la vicenda dell’ermeneutica dell’assioma </w:t>
      </w:r>
      <w:r w:rsidR="001836E7" w:rsidRPr="00E50C16">
        <w:rPr>
          <w:i/>
        </w:rPr>
        <w:t xml:space="preserve">«Extra </w:t>
      </w:r>
      <w:proofErr w:type="spellStart"/>
      <w:r w:rsidR="001836E7" w:rsidRPr="00E50C16">
        <w:rPr>
          <w:i/>
        </w:rPr>
        <w:t>Ecclesiam</w:t>
      </w:r>
      <w:proofErr w:type="spellEnd"/>
      <w:r w:rsidR="001836E7" w:rsidRPr="00E50C16">
        <w:rPr>
          <w:i/>
        </w:rPr>
        <w:t xml:space="preserve"> nulla </w:t>
      </w:r>
      <w:proofErr w:type="spellStart"/>
      <w:r w:rsidR="001836E7" w:rsidRPr="00E50C16">
        <w:rPr>
          <w:i/>
        </w:rPr>
        <w:t>salus</w:t>
      </w:r>
      <w:proofErr w:type="spellEnd"/>
      <w:r w:rsidR="001836E7" w:rsidRPr="00E50C16">
        <w:rPr>
          <w:i/>
        </w:rPr>
        <w:t>»</w:t>
      </w:r>
      <w:r w:rsidR="001836E7">
        <w:t xml:space="preserve"> nel corso della storia della teologia.</w:t>
      </w:r>
    </w:p>
    <w:p w:rsidR="001836E7" w:rsidRDefault="001836E7" w:rsidP="001836E7">
      <w:pPr>
        <w:jc w:val="both"/>
      </w:pPr>
    </w:p>
    <w:p w:rsidR="001836E7" w:rsidRDefault="001836E7" w:rsidP="001836E7">
      <w:pPr>
        <w:jc w:val="both"/>
      </w:pPr>
      <w:r>
        <w:t xml:space="preserve">1. </w:t>
      </w:r>
      <w:r w:rsidRPr="00CF365F">
        <w:rPr>
          <w:i/>
        </w:rPr>
        <w:t xml:space="preserve">Il senso originariamente </w:t>
      </w:r>
      <w:proofErr w:type="spellStart"/>
      <w:r w:rsidRPr="00CF365F">
        <w:rPr>
          <w:i/>
        </w:rPr>
        <w:t>antieretico</w:t>
      </w:r>
      <w:proofErr w:type="spellEnd"/>
      <w:r w:rsidRPr="00CF365F">
        <w:rPr>
          <w:i/>
        </w:rPr>
        <w:t xml:space="preserve"> dell’assioma</w:t>
      </w:r>
      <w:r>
        <w:t>. All’inizio rappresentava un monito agli eretici che si allontanano o separano dall’unica vera Chiesa:</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«Non pensino di avere la possibilità di vivere cristianamente e di salvarsi, se non vorranno obbedire ai vescovi e ai sacerdoti; […] i superbi e i ribelli sono uccisi dalla spada spirituale mediante l’allontanamento dalla Chiesa. Non possono infatti vivere cristianamente se ne sono fuori, poiché la casa di Dio è una sola e nessuno può salvarsi se non nella Chiesa» (</w:t>
      </w:r>
      <w:r w:rsidRPr="00CF365F">
        <w:rPr>
          <w:i/>
          <w:sz w:val="22"/>
        </w:rPr>
        <w:t>S. Cipriano di Cartagine</w:t>
      </w:r>
      <w:r>
        <w:rPr>
          <w:sz w:val="22"/>
        </w:rPr>
        <w:t xml:space="preserve">, 200-258). </w:t>
      </w:r>
    </w:p>
    <w:p w:rsidR="001836E7" w:rsidRPr="00EB61B4" w:rsidRDefault="001836E7" w:rsidP="001836E7">
      <w:pPr>
        <w:ind w:left="170" w:right="113"/>
        <w:jc w:val="both"/>
        <w:rPr>
          <w:sz w:val="22"/>
        </w:rPr>
      </w:pPr>
    </w:p>
    <w:p w:rsidR="001836E7" w:rsidRDefault="001836E7" w:rsidP="001836E7">
      <w:pPr>
        <w:jc w:val="both"/>
      </w:pPr>
      <w:r>
        <w:t>Lo sfondo di queste considerazioni è però la riflessione apologetica sui “semi del Verbo”, sulla “</w:t>
      </w:r>
      <w:proofErr w:type="spellStart"/>
      <w:r>
        <w:t>praeparatio</w:t>
      </w:r>
      <w:proofErr w:type="spellEnd"/>
      <w:r>
        <w:t xml:space="preserve"> evangelica” e sull’illuminazione dei filosofi pagani (Giustino, Clemente alessandrino).</w:t>
      </w:r>
    </w:p>
    <w:p w:rsidR="001836E7" w:rsidRDefault="001836E7" w:rsidP="001836E7">
      <w:pPr>
        <w:jc w:val="both"/>
      </w:pPr>
    </w:p>
    <w:p w:rsidR="001836E7" w:rsidRDefault="001836E7" w:rsidP="001836E7">
      <w:pPr>
        <w:jc w:val="both"/>
      </w:pPr>
      <w:r>
        <w:t xml:space="preserve">2. </w:t>
      </w:r>
      <w:r w:rsidRPr="00CF365F">
        <w:rPr>
          <w:i/>
        </w:rPr>
        <w:t>La reinterpretazione del problema della salvezza dei non-cristiani nell’orizzonte della questione della grazia-predestinazione</w:t>
      </w:r>
      <w:r>
        <w:t xml:space="preserve">: S. Agostino (convertitosi nel 387). Agostino da un lato afferma che coloro che non hanno ricevuto il Vangelo sono stati esclusi in previsione della loro indegnità, mentre dall’altro l’universalità del peccato originale e delle sue conseguenze costituisce l’umanità nella condizione di </w:t>
      </w:r>
      <w:r w:rsidRPr="00ED30C8">
        <w:rPr>
          <w:i/>
        </w:rPr>
        <w:t xml:space="preserve">massa </w:t>
      </w:r>
      <w:proofErr w:type="spellStart"/>
      <w:r w:rsidRPr="00ED30C8">
        <w:rPr>
          <w:i/>
        </w:rPr>
        <w:t>damnata</w:t>
      </w:r>
      <w:proofErr w:type="spellEnd"/>
      <w:r>
        <w:t xml:space="preserve">. Da questa posizione del problema deriva la tesi radicale di Fulgenzio di Ruspe (468-533) nell’opera </w:t>
      </w:r>
      <w:r w:rsidRPr="00E84C53">
        <w:rPr>
          <w:i/>
        </w:rPr>
        <w:t>Sulla verità della predestinazione</w:t>
      </w:r>
      <w:r>
        <w:t>:</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 xml:space="preserve">Se fosse vero che Dio vuole universalmente che tutti siano salvati e pervengano alla conoscenza della verità, come è che </w:t>
      </w:r>
      <w:smartTag w:uri="urn:schemas-microsoft-com:office:smarttags" w:element="PersonName">
        <w:smartTagPr>
          <w:attr w:name="ProductID" w:val="la Verit￠"/>
        </w:smartTagPr>
        <w:r>
          <w:rPr>
            <w:sz w:val="22"/>
          </w:rPr>
          <w:t>la Verità</w:t>
        </w:r>
      </w:smartTag>
      <w:r>
        <w:rPr>
          <w:sz w:val="22"/>
        </w:rPr>
        <w:t xml:space="preserve"> stessa ha celato ad alcuni il mistero della conoscenza? E’ certo che a coloro cui ha negato tale conoscenza egli nega anche la salvezza… Egli dunque ha voluto salvare coloro a cui ha dato la conoscenza del mistero di salvezza, e non ha voluto salvare coloro a cui ha negato la conoscenza del mistero salvifico. Se avesse voluto salvare gli uni e gli altri, agli uni e agli altri avrebbe donato la conoscenza della verità. […] Ritieni con saldissima fede e non dubitare in nessun modo che ogni battezzato al di fuori della Chiesa cattolica non può essere partecipe della vita eterna se prima della fine di questa vita non si restituirà alla Chiesa cattolica e non si incorporerà in essa. Poiché dice l’apostolo: “Se anche ho tutta la fede e conosco tutti i misteri, ma non ho la carità, non sono niente” (1Cor 13,2). Infatti anche nei giorni del diluvio leggiamo che nessuno poté salvarsi fuori dell’arca. […] Ritieni con saldissima fede e non dubitare in nessun modo che non solo tutti i pagani, ma anche tutti gli ebrei e tutti gli eretici e tutti gli scismatici che terminano la vita presente fuori della Chiesa cattolica andranno “nel fuoco preparato per </w:t>
      </w:r>
      <w:r w:rsidR="001F5D4A">
        <w:rPr>
          <w:sz w:val="22"/>
        </w:rPr>
        <w:t>il diavolo e per i suoi angeli”</w:t>
      </w:r>
      <w:r>
        <w:rPr>
          <w:sz w:val="22"/>
        </w:rPr>
        <w:t xml:space="preserve"> (</w:t>
      </w:r>
      <w:r w:rsidRPr="003E2392">
        <w:rPr>
          <w:i/>
          <w:sz w:val="22"/>
        </w:rPr>
        <w:t xml:space="preserve">De Fide ad </w:t>
      </w:r>
      <w:proofErr w:type="spellStart"/>
      <w:r w:rsidRPr="003E2392">
        <w:rPr>
          <w:i/>
          <w:sz w:val="22"/>
        </w:rPr>
        <w:t>Petrum</w:t>
      </w:r>
      <w:proofErr w:type="spellEnd"/>
      <w:r>
        <w:rPr>
          <w:sz w:val="22"/>
        </w:rPr>
        <w:t>, 37).</w:t>
      </w:r>
    </w:p>
    <w:p w:rsidR="001836E7" w:rsidRPr="00E84C53" w:rsidRDefault="001836E7" w:rsidP="001836E7">
      <w:pPr>
        <w:ind w:left="170" w:right="113"/>
        <w:jc w:val="both"/>
        <w:rPr>
          <w:sz w:val="22"/>
        </w:rPr>
      </w:pPr>
    </w:p>
    <w:p w:rsidR="001836E7" w:rsidRDefault="001836E7" w:rsidP="001836E7">
      <w:pPr>
        <w:jc w:val="both"/>
      </w:pPr>
      <w:r>
        <w:t xml:space="preserve">Il testo </w:t>
      </w:r>
      <w:proofErr w:type="spellStart"/>
      <w:r>
        <w:t>magisteriale</w:t>
      </w:r>
      <w:proofErr w:type="spellEnd"/>
      <w:r>
        <w:t xml:space="preserve"> più esplicito di questa linea è il Decreto per i Copti del Concilio di Firenze (4 febbraio 1442):</w:t>
      </w:r>
    </w:p>
    <w:p w:rsidR="001836E7" w:rsidRDefault="001836E7" w:rsidP="001836E7">
      <w:pPr>
        <w:ind w:left="170" w:right="113"/>
        <w:jc w:val="both"/>
        <w:rPr>
          <w:sz w:val="22"/>
        </w:rPr>
      </w:pPr>
    </w:p>
    <w:p w:rsidR="001836E7" w:rsidRDefault="001836E7" w:rsidP="001836E7">
      <w:pPr>
        <w:ind w:left="170" w:right="113"/>
        <w:jc w:val="both"/>
        <w:rPr>
          <w:sz w:val="22"/>
        </w:rPr>
      </w:pPr>
      <w:smartTag w:uri="urn:schemas-microsoft-com:office:smarttags" w:element="PersonName">
        <w:smartTagPr>
          <w:attr w:name="ProductID" w:val="la Chiesa"/>
        </w:smartTagPr>
        <w:r>
          <w:rPr>
            <w:sz w:val="22"/>
          </w:rPr>
          <w:t>La Chiesa</w:t>
        </w:r>
      </w:smartTag>
      <w:r>
        <w:rPr>
          <w:sz w:val="22"/>
        </w:rPr>
        <w:t xml:space="preserve"> crede fermamente, confessa e annuncia che “nessuno di quelli che sono fuori della Chiesa cattolica, non solo i pagani”, ma anche gli ebrei o gli eretici e gli scismatici, potranno raggiungere la vita eterna, ma andranno nel fuoco eterno, “preparato per il diavolo e per i suoi angeli” (Mt 25,41), se prima della morte non saranno stati ad essa uniti; crede tanto importante l’unità del corpo della Chiesa che, solo a quelli che in essa perseverano, i sacramenti della Chiesa procureranno la salvezza, e i digiuni e le altre opere di pietà e gli esercizi della milizia cristiana ottengono il premio eterno. Nessuno, per quante elemosine abbia fatto e persino se avesse versato il sangue per il nome di Cristo può essere salvo, se non rimane nel grembo e nell’unità del</w:t>
      </w:r>
      <w:r w:rsidR="001F5D4A">
        <w:rPr>
          <w:sz w:val="22"/>
        </w:rPr>
        <w:t>la Chiesa cattolica</w:t>
      </w:r>
      <w:r>
        <w:rPr>
          <w:sz w:val="22"/>
        </w:rPr>
        <w:t xml:space="preserve"> (DS 1351)</w:t>
      </w:r>
    </w:p>
    <w:p w:rsidR="001836E7" w:rsidRPr="00C13807" w:rsidRDefault="001836E7" w:rsidP="001836E7">
      <w:pPr>
        <w:ind w:left="170" w:right="113"/>
        <w:jc w:val="both"/>
        <w:rPr>
          <w:sz w:val="22"/>
        </w:rPr>
      </w:pPr>
    </w:p>
    <w:p w:rsidR="001836E7" w:rsidRDefault="001836E7" w:rsidP="001836E7">
      <w:pPr>
        <w:jc w:val="both"/>
      </w:pPr>
      <w:r>
        <w:t xml:space="preserve">Questo testo ritiene pacifico che pagani, ebrei, musulmani e scismatici siano colpevoli del «peccato di infedeltà» (cioè del rifiuto del Vangelo) e quindi destinati all’Inferno. Ciò che rende problematico questo testo è la formulazione negativa ed esclusiva, che rende particolarmente duro l’assioma. Per questo alcuni teologi hanno chiesto di volgere in positivo la certezza di fede espressa dal testo: </w:t>
      </w:r>
      <w:smartTag w:uri="urn:schemas-microsoft-com:office:smarttags" w:element="PersonName">
        <w:smartTagPr>
          <w:attr w:name="ProductID" w:val="la Chiesa"/>
        </w:smartTagPr>
        <w:r>
          <w:t>la Chiesa</w:t>
        </w:r>
      </w:smartTag>
      <w:r>
        <w:t xml:space="preserve"> è l’unica istituzione creata e ordinata da Dio per ottenere alle persone la salvezza che è in Cristo Gesù; essa ha ottenuto dal suo Signore tutto quanto è necessario per ottenere la salvezza di tutta l’umanità. In questa direzione va letta l’affermazione ricorrente al Vaticano II, secondo cui </w:t>
      </w:r>
      <w:smartTag w:uri="urn:schemas-microsoft-com:office:smarttags" w:element="PersonName">
        <w:smartTagPr>
          <w:attr w:name="ProductID" w:val="la Chiesa"/>
        </w:smartTagPr>
        <w:r>
          <w:t>la Chiesa</w:t>
        </w:r>
      </w:smartTag>
      <w:r>
        <w:t xml:space="preserve"> è necessaria alla salvezza (LG 14), è costituita strumento generale di salvezza (UR 3) e strumento di redenzione per tutti (LG 9), sacramento dell’unione con Dio e tra gli uomini.</w:t>
      </w:r>
    </w:p>
    <w:p w:rsidR="001836E7" w:rsidRDefault="001836E7" w:rsidP="001836E7">
      <w:pPr>
        <w:ind w:left="170" w:right="113"/>
        <w:jc w:val="both"/>
        <w:rPr>
          <w:sz w:val="22"/>
        </w:rPr>
      </w:pPr>
    </w:p>
    <w:p w:rsidR="001836E7" w:rsidRPr="007839BD" w:rsidRDefault="001836E7" w:rsidP="001836E7">
      <w:pPr>
        <w:ind w:left="170" w:right="113"/>
        <w:jc w:val="both"/>
        <w:rPr>
          <w:sz w:val="22"/>
        </w:rPr>
      </w:pPr>
      <w:r w:rsidRPr="007839BD">
        <w:rPr>
          <w:sz w:val="22"/>
        </w:rPr>
        <w:lastRenderedPageBreak/>
        <w:t>Quanto al testo di Firenze ci si deve chiedere se il pronunciamento non presupponga un’immagine antica del mondo, precedente alle scoperte geografiche che sconvolgeranno il XV secolo. In tal senso il testo dice una certezza di fede commisurata a una certa percezione del mondo, in cui si riteneva che l’annuncio del Vangelo avesse in qualche modo raggiunto tutti gli uomini che abitano la terra: perciò, se uno non appartiene alla Chiesa è per sua decisione e quindi per sua colpa</w:t>
      </w:r>
      <w:r w:rsidRPr="005B01A7">
        <w:rPr>
          <w:rStyle w:val="Rimandonotaapidipagina"/>
          <w:sz w:val="20"/>
          <w:szCs w:val="20"/>
        </w:rPr>
        <w:footnoteReference w:id="3"/>
      </w:r>
      <w:r w:rsidRPr="007839BD">
        <w:rPr>
          <w:sz w:val="22"/>
        </w:rPr>
        <w:t xml:space="preserve">. </w:t>
      </w:r>
    </w:p>
    <w:p w:rsidR="001836E7" w:rsidRDefault="001836E7" w:rsidP="001836E7">
      <w:pPr>
        <w:jc w:val="both"/>
      </w:pPr>
    </w:p>
    <w:p w:rsidR="001836E7" w:rsidRDefault="001836E7" w:rsidP="001836E7">
      <w:pPr>
        <w:jc w:val="both"/>
      </w:pPr>
      <w:r>
        <w:t xml:space="preserve">3. La durezza di questo insegnamento di matrice agostiniana va però temperata con le riflessioni di Tommaso, degno rappresentante della considerazione teologica del problema. </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 xml:space="preserve">Se alcuni [gentili] si salvarono senza codeste rivelazioni, non si salvarono senza la fede nel mediatore. Perché, anche se non ne ebbero una fede esplicita, ebbero però una fede implicita nella divina provvidenza, credendo che Dio sarebbe stato il redentore degli uomini nel </w:t>
      </w:r>
      <w:r w:rsidR="001F5D4A">
        <w:rPr>
          <w:sz w:val="22"/>
        </w:rPr>
        <w:t>modo che a lui sarebbe piaciuto</w:t>
      </w:r>
      <w:r>
        <w:rPr>
          <w:sz w:val="22"/>
        </w:rPr>
        <w:t xml:space="preserve"> (</w:t>
      </w:r>
      <w:r w:rsidRPr="00CC0593">
        <w:rPr>
          <w:i/>
          <w:sz w:val="22"/>
        </w:rPr>
        <w:t>S</w:t>
      </w:r>
      <w:r>
        <w:rPr>
          <w:i/>
          <w:sz w:val="22"/>
        </w:rPr>
        <w:t xml:space="preserve">umma </w:t>
      </w:r>
      <w:proofErr w:type="spellStart"/>
      <w:r>
        <w:rPr>
          <w:i/>
          <w:sz w:val="22"/>
        </w:rPr>
        <w:t>Theologiae</w:t>
      </w:r>
      <w:proofErr w:type="spellEnd"/>
      <w:r w:rsidRPr="004C25C6">
        <w:rPr>
          <w:i/>
          <w:sz w:val="22"/>
        </w:rPr>
        <w:t xml:space="preserve"> II </w:t>
      </w:r>
      <w:proofErr w:type="spellStart"/>
      <w:r w:rsidRPr="004C25C6">
        <w:rPr>
          <w:i/>
          <w:sz w:val="22"/>
        </w:rPr>
        <w:t>II</w:t>
      </w:r>
      <w:proofErr w:type="spellEnd"/>
      <w:r>
        <w:rPr>
          <w:sz w:val="22"/>
        </w:rPr>
        <w:t xml:space="preserve">, q </w:t>
      </w:r>
      <w:smartTag w:uri="urn:schemas-microsoft-com:office:smarttags" w:element="metricconverter">
        <w:smartTagPr>
          <w:attr w:name="ProductID" w:val="2 a"/>
        </w:smartTagPr>
        <w:r>
          <w:rPr>
            <w:sz w:val="22"/>
          </w:rPr>
          <w:t>2 a</w:t>
        </w:r>
      </w:smartTag>
      <w:r>
        <w:rPr>
          <w:sz w:val="22"/>
        </w:rPr>
        <w:t xml:space="preserve"> 7 ad 3).</w:t>
      </w:r>
    </w:p>
    <w:p w:rsidR="001836E7" w:rsidRPr="00D72384" w:rsidRDefault="001836E7" w:rsidP="001836E7">
      <w:pPr>
        <w:ind w:left="170" w:right="113"/>
        <w:jc w:val="both"/>
        <w:rPr>
          <w:sz w:val="22"/>
        </w:rPr>
      </w:pPr>
    </w:p>
    <w:p w:rsidR="001836E7" w:rsidRDefault="001836E7" w:rsidP="001836E7">
      <w:pPr>
        <w:jc w:val="both"/>
      </w:pPr>
      <w:r>
        <w:t>Questa notazione riguarda i popoli prima di Cristo. Per quanto riguarda la condizione attuale dell’uomo, Tommaso usa il principio che «a chi fa ciò che è in suo potere, Dio non fa mancare il suo aiuto, cioè la grazia» (</w:t>
      </w:r>
      <w:proofErr w:type="spellStart"/>
      <w:r w:rsidRPr="00CC0593">
        <w:rPr>
          <w:i/>
        </w:rPr>
        <w:t>fac</w:t>
      </w:r>
      <w:r>
        <w:rPr>
          <w:i/>
        </w:rPr>
        <w:t>i</w:t>
      </w:r>
      <w:r w:rsidRPr="00CC0593">
        <w:rPr>
          <w:i/>
        </w:rPr>
        <w:t>enti</w:t>
      </w:r>
      <w:proofErr w:type="spellEnd"/>
      <w:r w:rsidRPr="00CC0593">
        <w:rPr>
          <w:i/>
        </w:rPr>
        <w:t xml:space="preserve"> </w:t>
      </w:r>
      <w:proofErr w:type="spellStart"/>
      <w:r>
        <w:rPr>
          <w:i/>
        </w:rPr>
        <w:t>quod</w:t>
      </w:r>
      <w:proofErr w:type="spellEnd"/>
      <w:r>
        <w:rPr>
          <w:i/>
        </w:rPr>
        <w:t xml:space="preserve"> in se est, Deus non </w:t>
      </w:r>
      <w:proofErr w:type="spellStart"/>
      <w:r>
        <w:rPr>
          <w:i/>
        </w:rPr>
        <w:t>de</w:t>
      </w:r>
      <w:r w:rsidRPr="00CC0593">
        <w:rPr>
          <w:i/>
        </w:rPr>
        <w:t>negat</w:t>
      </w:r>
      <w:proofErr w:type="spellEnd"/>
      <w:r w:rsidRPr="00CC0593">
        <w:rPr>
          <w:i/>
        </w:rPr>
        <w:t xml:space="preserve"> </w:t>
      </w:r>
      <w:proofErr w:type="spellStart"/>
      <w:r w:rsidRPr="00CC0593">
        <w:rPr>
          <w:i/>
        </w:rPr>
        <w:t>gratiam</w:t>
      </w:r>
      <w:proofErr w:type="spellEnd"/>
      <w:r>
        <w:t>). Tale grazia si manifesta come dono della rivelazione esplicita o come ispirazione interiore:</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Se uno nutrito [nelle selve o tra gli animali] seguisse il comando della ragione naturale nella ricerca del bene e nella fuga dal male, bisogna certissimamente ritenere che Dio gli rivelerebbe con un’ispirazione interna le verità che si debbono necessariamente credere, o gli manderebbe un predicatore della fed</w:t>
      </w:r>
      <w:r w:rsidR="001F5D4A">
        <w:rPr>
          <w:sz w:val="22"/>
        </w:rPr>
        <w:t>e, come mandò Pietro a Cornelio</w:t>
      </w:r>
      <w:r>
        <w:rPr>
          <w:sz w:val="22"/>
        </w:rPr>
        <w:t xml:space="preserve"> (</w:t>
      </w:r>
      <w:r w:rsidRPr="004C25C6">
        <w:rPr>
          <w:i/>
          <w:sz w:val="22"/>
        </w:rPr>
        <w:t xml:space="preserve">De </w:t>
      </w:r>
      <w:proofErr w:type="spellStart"/>
      <w:r w:rsidRPr="004C25C6">
        <w:rPr>
          <w:i/>
          <w:sz w:val="22"/>
        </w:rPr>
        <w:t>Veritate</w:t>
      </w:r>
      <w:proofErr w:type="spellEnd"/>
      <w:r>
        <w:rPr>
          <w:sz w:val="22"/>
        </w:rPr>
        <w:t xml:space="preserve"> q </w:t>
      </w:r>
      <w:smartTag w:uri="urn:schemas-microsoft-com:office:smarttags" w:element="metricconverter">
        <w:smartTagPr>
          <w:attr w:name="ProductID" w:val="14, a"/>
        </w:smartTagPr>
        <w:r>
          <w:rPr>
            <w:sz w:val="22"/>
          </w:rPr>
          <w:t>14, a</w:t>
        </w:r>
      </w:smartTag>
      <w:r>
        <w:rPr>
          <w:sz w:val="22"/>
        </w:rPr>
        <w:t xml:space="preserve"> 11, ad 1). </w:t>
      </w:r>
    </w:p>
    <w:p w:rsidR="001836E7" w:rsidRPr="00B63893" w:rsidRDefault="001836E7" w:rsidP="001836E7">
      <w:pPr>
        <w:ind w:left="170" w:right="113"/>
        <w:jc w:val="both"/>
        <w:rPr>
          <w:sz w:val="22"/>
        </w:rPr>
      </w:pPr>
    </w:p>
    <w:p w:rsidR="001836E7" w:rsidRDefault="001836E7" w:rsidP="001836E7">
      <w:pPr>
        <w:ind w:left="170" w:right="113"/>
        <w:jc w:val="both"/>
        <w:rPr>
          <w:sz w:val="22"/>
        </w:rPr>
      </w:pPr>
      <w:r>
        <w:rPr>
          <w:sz w:val="22"/>
        </w:rPr>
        <w:t>Quando poi l’uomo comincia ad avere l’uso di ragione non viene scusato né dalle colpe veniali, né dal peccato mortale. Ma la prima cosa che allora è tenuto a pensare, è deliberare di se stesso. E se uno ordina se stesso al debito fine, con la grazia riceve la remissione del peccato originale. Se invece non ordina se stesso al debito fine, secondo la discrezione di cui è capace a codesta età, pecca mortalmente, perché</w:t>
      </w:r>
      <w:r w:rsidR="001F5D4A">
        <w:rPr>
          <w:sz w:val="22"/>
        </w:rPr>
        <w:t xml:space="preserve"> non fa ciò che è in suo potere</w:t>
      </w:r>
      <w:r>
        <w:rPr>
          <w:sz w:val="22"/>
        </w:rPr>
        <w:t xml:space="preserve"> (</w:t>
      </w:r>
      <w:proofErr w:type="spellStart"/>
      <w:r w:rsidRPr="004C25C6">
        <w:rPr>
          <w:i/>
          <w:sz w:val="22"/>
        </w:rPr>
        <w:t>S.Th</w:t>
      </w:r>
      <w:proofErr w:type="spellEnd"/>
      <w:r w:rsidRPr="004C25C6">
        <w:rPr>
          <w:i/>
          <w:sz w:val="22"/>
        </w:rPr>
        <w:t>. I II</w:t>
      </w:r>
      <w:r>
        <w:rPr>
          <w:sz w:val="22"/>
        </w:rPr>
        <w:t xml:space="preserve">, q </w:t>
      </w:r>
      <w:smartTag w:uri="urn:schemas-microsoft-com:office:smarttags" w:element="metricconverter">
        <w:smartTagPr>
          <w:attr w:name="ProductID" w:val="89 a"/>
        </w:smartTagPr>
        <w:r>
          <w:rPr>
            <w:sz w:val="22"/>
          </w:rPr>
          <w:t>89 a</w:t>
        </w:r>
      </w:smartTag>
      <w:r>
        <w:rPr>
          <w:sz w:val="22"/>
        </w:rPr>
        <w:t xml:space="preserve"> 6)</w:t>
      </w:r>
    </w:p>
    <w:p w:rsidR="001836E7" w:rsidRPr="00281DBC" w:rsidRDefault="001836E7" w:rsidP="001836E7">
      <w:pPr>
        <w:ind w:left="170" w:right="113"/>
        <w:jc w:val="both"/>
        <w:rPr>
          <w:sz w:val="22"/>
        </w:rPr>
      </w:pPr>
    </w:p>
    <w:p w:rsidR="001836E7" w:rsidRDefault="001836E7" w:rsidP="001836E7">
      <w:pPr>
        <w:jc w:val="both"/>
      </w:pPr>
      <w:r>
        <w:t xml:space="preserve">4. </w:t>
      </w:r>
      <w:r w:rsidRPr="00A44A22">
        <w:rPr>
          <w:i/>
        </w:rPr>
        <w:t xml:space="preserve">Il problema nel contesto della missione «ad </w:t>
      </w:r>
      <w:proofErr w:type="spellStart"/>
      <w:r w:rsidRPr="00A44A22">
        <w:rPr>
          <w:i/>
        </w:rPr>
        <w:t>gentes</w:t>
      </w:r>
      <w:proofErr w:type="spellEnd"/>
      <w:r w:rsidRPr="00A44A22">
        <w:rPr>
          <w:i/>
        </w:rPr>
        <w:t>»</w:t>
      </w:r>
      <w:r>
        <w:t xml:space="preserve">. Un segno del cambiamento di mentalità nel rapporto con l’Islam, del passaggio cioè dalla logica conflittuale delle crociate a quella della missione, si trova già in S. Francesco, nella </w:t>
      </w:r>
      <w:proofErr w:type="spellStart"/>
      <w:r w:rsidRPr="00780B02">
        <w:rPr>
          <w:i/>
        </w:rPr>
        <w:t>Regula</w:t>
      </w:r>
      <w:proofErr w:type="spellEnd"/>
      <w:r w:rsidRPr="00780B02">
        <w:rPr>
          <w:i/>
        </w:rPr>
        <w:t xml:space="preserve"> non </w:t>
      </w:r>
      <w:proofErr w:type="spellStart"/>
      <w:r w:rsidRPr="00780B02">
        <w:rPr>
          <w:i/>
        </w:rPr>
        <w:t>bullata</w:t>
      </w:r>
      <w:proofErr w:type="spellEnd"/>
      <w:r>
        <w:t xml:space="preserve"> del 1221: «Qualunque fratello voglia andare missionario tra i musulmani e altri non credenti, ci vada con il permesso del suo ministro e servo… I fratelli che vanno in missione possono comportarsi in due modi in mezzo a questi popoli. Un modo consiste nell’evitare litigi e discussioni “assoggettandosi ad ogni creatura umana per amore di Dio” (1Pt 2,13) e confessando di essere cristiani. L’altro modo consiste nell’annunciare </w:t>
      </w:r>
      <w:smartTag w:uri="urn:schemas-microsoft-com:office:smarttags" w:element="PersonName">
        <w:smartTagPr>
          <w:attr w:name="ProductID" w:val="la Parola"/>
        </w:smartTagPr>
        <w:r>
          <w:t>la Parola</w:t>
        </w:r>
      </w:smartTag>
      <w:r>
        <w:t xml:space="preserve"> di Dio, quando vedano che ciò piace al Signore, affinché quelle genti credano». </w:t>
      </w:r>
    </w:p>
    <w:p w:rsidR="001836E7" w:rsidRDefault="001836E7" w:rsidP="001836E7">
      <w:pPr>
        <w:jc w:val="both"/>
      </w:pPr>
      <w:r>
        <w:t>Il problema di un nuovo approccio missionario ai popoli non ancora evangelizzati si impone con la scoperta del Nuovo Mondo.</w:t>
      </w:r>
      <w:r w:rsidR="001F5D4A">
        <w:t xml:space="preserve"> </w:t>
      </w:r>
      <w:r>
        <w:t xml:space="preserve">Una conferma </w:t>
      </w:r>
      <w:proofErr w:type="spellStart"/>
      <w:r>
        <w:t>magisteriale</w:t>
      </w:r>
      <w:proofErr w:type="spellEnd"/>
      <w:r>
        <w:t xml:space="preserve"> di questa nuova </w:t>
      </w:r>
      <w:r w:rsidRPr="00CA41A9">
        <w:rPr>
          <w:i/>
        </w:rPr>
        <w:t>percezione di fondo</w:t>
      </w:r>
      <w:r>
        <w:t xml:space="preserve"> si trova nella condanna delle proposizioni gianseniste da parte di Alessandro VIII (1690). Tale condanna presuppone la presenza della grazia anche tra i credenti di altre religioni. Ecco alcune proposizioni condannate:</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 xml:space="preserve">5. Pagani, ebrei, eretici e altri di questo genere non ricevono assolutamente nessun influsso da Gesù Cristo; si deduce quindi rettamente che in loro c’è la nuda e inerme volontà, senza nessuna grazia sufficiente. […] 8. Il non credente in ogni azione pecca necessariamente. […] 11. Tutto ciò che non proviene dalla fede cristiana soprannaturale che opera per amore </w:t>
      </w:r>
      <w:r w:rsidR="001F5D4A">
        <w:rPr>
          <w:sz w:val="22"/>
        </w:rPr>
        <w:t>è peccato (DS 2305; 2308; 2311)</w:t>
      </w:r>
      <w:r>
        <w:rPr>
          <w:sz w:val="22"/>
        </w:rPr>
        <w:t xml:space="preserve">. </w:t>
      </w:r>
    </w:p>
    <w:p w:rsidR="001836E7" w:rsidRPr="00CA41A9" w:rsidRDefault="001836E7" w:rsidP="001836E7">
      <w:pPr>
        <w:ind w:left="170" w:right="113"/>
        <w:jc w:val="both"/>
        <w:rPr>
          <w:sz w:val="22"/>
        </w:rPr>
      </w:pPr>
    </w:p>
    <w:p w:rsidR="001836E7" w:rsidRDefault="001836E7" w:rsidP="001836E7">
      <w:pPr>
        <w:jc w:val="both"/>
      </w:pPr>
      <w:r>
        <w:lastRenderedPageBreak/>
        <w:t xml:space="preserve">Nella stessa direzione va letta la condanna della proposizione di P. </w:t>
      </w:r>
      <w:proofErr w:type="spellStart"/>
      <w:r>
        <w:t>Quesnel</w:t>
      </w:r>
      <w:proofErr w:type="spellEnd"/>
      <w:r>
        <w:t xml:space="preserve"> da parte di Clemente XI nella costituzione </w:t>
      </w:r>
      <w:proofErr w:type="spellStart"/>
      <w:r w:rsidRPr="00556E03">
        <w:rPr>
          <w:i/>
        </w:rPr>
        <w:t>Unigenitus</w:t>
      </w:r>
      <w:proofErr w:type="spellEnd"/>
      <w:r>
        <w:t xml:space="preserve"> del 1713: «Al di fuori della Chiesa non è concessa alcuna grazia».</w:t>
      </w:r>
    </w:p>
    <w:p w:rsidR="001836E7" w:rsidRDefault="001836E7" w:rsidP="001836E7">
      <w:pPr>
        <w:jc w:val="both"/>
      </w:pPr>
    </w:p>
    <w:p w:rsidR="001836E7" w:rsidRDefault="001836E7" w:rsidP="001836E7">
      <w:pPr>
        <w:jc w:val="both"/>
      </w:pPr>
      <w:r>
        <w:t xml:space="preserve">5. Cambia invece il </w:t>
      </w:r>
      <w:r w:rsidRPr="00A44A22">
        <w:rPr>
          <w:i/>
        </w:rPr>
        <w:t>clima culturale</w:t>
      </w:r>
      <w:r>
        <w:t xml:space="preserve">, e quindi il senso degli interventi </w:t>
      </w:r>
      <w:proofErr w:type="spellStart"/>
      <w:r>
        <w:t>magisteriali</w:t>
      </w:r>
      <w:proofErr w:type="spellEnd"/>
      <w:r>
        <w:t xml:space="preserve">, nel secolo XIX. L’intervento dei papi mira a scongiurare l’esito «indifferentista» del pensiero moderno: </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 xml:space="preserve">Veniamo ora a un’altra sorgente trabocchevole dei mali da cui compiangiamo afflitta al presente </w:t>
      </w:r>
      <w:smartTag w:uri="urn:schemas-microsoft-com:office:smarttags" w:element="PersonName">
        <w:smartTagPr>
          <w:attr w:name="ProductID" w:val="la Chiesa. L"/>
        </w:smartTagPr>
        <w:smartTag w:uri="urn:schemas-microsoft-com:office:smarttags" w:element="PersonName">
          <w:smartTagPr>
            <w:attr w:name="ProductID" w:val="la Chiesa."/>
          </w:smartTagPr>
          <w:r>
            <w:rPr>
              <w:sz w:val="22"/>
            </w:rPr>
            <w:t>la Chiesa.</w:t>
          </w:r>
        </w:smartTag>
        <w:r>
          <w:rPr>
            <w:sz w:val="22"/>
          </w:rPr>
          <w:t xml:space="preserve"> L</w:t>
        </w:r>
      </w:smartTag>
      <w:r>
        <w:rPr>
          <w:sz w:val="22"/>
        </w:rPr>
        <w:t>’indifferentismo, vogliamo dire, ossia quella perversa opinione che in qualunque professione di fede si possa conseguire l’eterna salvezza dell’anima, se i costumi si conformino all</w:t>
      </w:r>
      <w:r w:rsidR="001F5D4A">
        <w:rPr>
          <w:sz w:val="22"/>
        </w:rPr>
        <w:t>a norma del retto e dell’onesto</w:t>
      </w:r>
      <w:r>
        <w:rPr>
          <w:sz w:val="22"/>
        </w:rPr>
        <w:t xml:space="preserve"> (Gregorio XVI, </w:t>
      </w:r>
      <w:proofErr w:type="spellStart"/>
      <w:r w:rsidRPr="00D276F8">
        <w:rPr>
          <w:i/>
          <w:sz w:val="22"/>
        </w:rPr>
        <w:t>Mirari</w:t>
      </w:r>
      <w:proofErr w:type="spellEnd"/>
      <w:r w:rsidRPr="00D276F8">
        <w:rPr>
          <w:i/>
          <w:sz w:val="22"/>
        </w:rPr>
        <w:t xml:space="preserve"> </w:t>
      </w:r>
      <w:proofErr w:type="spellStart"/>
      <w:r w:rsidRPr="00D276F8">
        <w:rPr>
          <w:i/>
          <w:sz w:val="22"/>
        </w:rPr>
        <w:t>vos</w:t>
      </w:r>
      <w:proofErr w:type="spellEnd"/>
      <w:r>
        <w:rPr>
          <w:sz w:val="22"/>
        </w:rPr>
        <w:t>, 1832).</w:t>
      </w:r>
    </w:p>
    <w:p w:rsidR="001836E7" w:rsidRDefault="001836E7" w:rsidP="001836E7">
      <w:pPr>
        <w:ind w:left="170" w:right="113"/>
        <w:jc w:val="both"/>
        <w:rPr>
          <w:sz w:val="22"/>
        </w:rPr>
      </w:pPr>
    </w:p>
    <w:p w:rsidR="001836E7" w:rsidRDefault="001836E7" w:rsidP="001836E7">
      <w:pPr>
        <w:jc w:val="both"/>
      </w:pPr>
      <w:r>
        <w:t>Queste precisazioni rispetto alle «libertà moderne» vanno comunque lette accanto alle seguenti notazioni sull’</w:t>
      </w:r>
      <w:r w:rsidRPr="004B7DCC">
        <w:rPr>
          <w:i/>
        </w:rPr>
        <w:t>ignoranza invincibile</w:t>
      </w:r>
      <w:r>
        <w:t xml:space="preserve"> e le misteriose vie di Dio:</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E’ noto a noi e a voi che coloro i quali ignorano invincibilmente la nostra santissima religione e che, osservando diligentemente la nostra legge naturale e i suoi precetti, scolpiti da Dio nel cuore di tutti, e disposti ad obbedire a Dio, conducono una vita onesta e retta, possono con l’aiuto della luce e della grazia divina conseguire la vita eterna, giacché Dio, il quale perfettamente vede, scruta e conosce le menti, gli animi, i pensieri e il comportamento di tutti, non permette… che sia punito con eterni supplizi chi non è reo di colpa volontaria. Ma è pure notissimo il dogma cattolico, che cioè nessuno può salvarsi al di fuori della Chiesa cattolica… Ma non accada mai che i figli della Chiesa cattolica siano in alcun modo nemici di coloro che non sono congiunti con noi dai vincoli della medesima fede e amore; si sforzino invece sempre, se quelli sono poveri o malati o afflitti… di soccorrerli ed aiutarli con tutti</w:t>
      </w:r>
      <w:r w:rsidR="001F5D4A">
        <w:rPr>
          <w:sz w:val="22"/>
        </w:rPr>
        <w:t xml:space="preserve"> i servigi dell’amore cristiano</w:t>
      </w:r>
      <w:r>
        <w:rPr>
          <w:sz w:val="22"/>
        </w:rPr>
        <w:t xml:space="preserve"> (Pio IX, enciclica </w:t>
      </w:r>
      <w:r w:rsidRPr="007E420D">
        <w:rPr>
          <w:i/>
          <w:sz w:val="22"/>
        </w:rPr>
        <w:t xml:space="preserve">Quanto </w:t>
      </w:r>
      <w:proofErr w:type="spellStart"/>
      <w:r w:rsidRPr="007E420D">
        <w:rPr>
          <w:i/>
          <w:sz w:val="22"/>
        </w:rPr>
        <w:t>conficiamur</w:t>
      </w:r>
      <w:proofErr w:type="spellEnd"/>
      <w:r w:rsidRPr="007E420D">
        <w:rPr>
          <w:i/>
          <w:sz w:val="22"/>
        </w:rPr>
        <w:t xml:space="preserve"> </w:t>
      </w:r>
      <w:proofErr w:type="spellStart"/>
      <w:r w:rsidRPr="007E420D">
        <w:rPr>
          <w:i/>
          <w:sz w:val="22"/>
        </w:rPr>
        <w:t>moerore</w:t>
      </w:r>
      <w:proofErr w:type="spellEnd"/>
      <w:r>
        <w:rPr>
          <w:sz w:val="22"/>
        </w:rPr>
        <w:t>).</w:t>
      </w:r>
    </w:p>
    <w:p w:rsidR="001836E7" w:rsidRPr="004B7DCC" w:rsidRDefault="001836E7" w:rsidP="001836E7">
      <w:pPr>
        <w:ind w:left="170" w:right="113"/>
        <w:jc w:val="both"/>
        <w:rPr>
          <w:sz w:val="22"/>
        </w:rPr>
      </w:pPr>
    </w:p>
    <w:p w:rsidR="001836E7" w:rsidRDefault="001836E7" w:rsidP="001836E7">
      <w:pPr>
        <w:jc w:val="both"/>
      </w:pPr>
      <w:r>
        <w:t xml:space="preserve">6. La necessità di appartenere alla Chiesa per la salvezza è sottolineata di nuovo da Pio XII nell’enciclica </w:t>
      </w:r>
      <w:proofErr w:type="spellStart"/>
      <w:r w:rsidRPr="007E420D">
        <w:rPr>
          <w:i/>
        </w:rPr>
        <w:t>Mystici</w:t>
      </w:r>
      <w:proofErr w:type="spellEnd"/>
      <w:r w:rsidRPr="007E420D">
        <w:rPr>
          <w:i/>
        </w:rPr>
        <w:t xml:space="preserve"> </w:t>
      </w:r>
      <w:proofErr w:type="spellStart"/>
      <w:r w:rsidRPr="007E420D">
        <w:rPr>
          <w:i/>
        </w:rPr>
        <w:t>Corporis</w:t>
      </w:r>
      <w:proofErr w:type="spellEnd"/>
      <w:r>
        <w:t xml:space="preserve"> del </w:t>
      </w:r>
      <w:smartTag w:uri="urn:schemas-microsoft-com:office:smarttags" w:element="metricconverter">
        <w:smartTagPr>
          <w:attr w:name="ProductID" w:val="1943. In"/>
        </w:smartTagPr>
        <w:r>
          <w:t>1943. In</w:t>
        </w:r>
      </w:smartTag>
      <w:r>
        <w:t xml:space="preserve"> essa il pontefice affida alla “tutela celeste” quanti non appartengono all’organismo visibile della Chiesa cattolica «affinché facciano di tutto per sottrarsi al loro stato, in cui non possono sentirsi sicuri della propria salvezza, perché, sebbene da un certo inconsapevole desiderio e anelito siano ordinati al mistico corpo del redentore </w:t>
      </w:r>
      <w:r w:rsidRPr="00BD6644">
        <w:rPr>
          <w:i/>
        </w:rPr>
        <w:t xml:space="preserve">(inscio </w:t>
      </w:r>
      <w:proofErr w:type="spellStart"/>
      <w:r w:rsidRPr="00BD6644">
        <w:rPr>
          <w:i/>
        </w:rPr>
        <w:t>quodam</w:t>
      </w:r>
      <w:proofErr w:type="spellEnd"/>
      <w:r w:rsidRPr="00BD6644">
        <w:rPr>
          <w:i/>
        </w:rPr>
        <w:t xml:space="preserve"> desiderio </w:t>
      </w:r>
      <w:proofErr w:type="spellStart"/>
      <w:r w:rsidRPr="00BD6644">
        <w:rPr>
          <w:i/>
        </w:rPr>
        <w:t>ac</w:t>
      </w:r>
      <w:proofErr w:type="spellEnd"/>
      <w:r w:rsidRPr="00BD6644">
        <w:rPr>
          <w:i/>
        </w:rPr>
        <w:t xml:space="preserve"> voto ad </w:t>
      </w:r>
      <w:proofErr w:type="spellStart"/>
      <w:r w:rsidRPr="00BD6644">
        <w:rPr>
          <w:i/>
        </w:rPr>
        <w:t>mysticum</w:t>
      </w:r>
      <w:proofErr w:type="spellEnd"/>
      <w:r w:rsidRPr="00BD6644">
        <w:rPr>
          <w:i/>
        </w:rPr>
        <w:t xml:space="preserve"> </w:t>
      </w:r>
      <w:proofErr w:type="spellStart"/>
      <w:r w:rsidRPr="00BD6644">
        <w:rPr>
          <w:i/>
        </w:rPr>
        <w:t>Redemptoris</w:t>
      </w:r>
      <w:proofErr w:type="spellEnd"/>
      <w:r w:rsidRPr="00BD6644">
        <w:rPr>
          <w:i/>
        </w:rPr>
        <w:t xml:space="preserve"> Corpus </w:t>
      </w:r>
      <w:proofErr w:type="spellStart"/>
      <w:r w:rsidRPr="00BD6644">
        <w:rPr>
          <w:i/>
        </w:rPr>
        <w:t>ordinentur</w:t>
      </w:r>
      <w:proofErr w:type="spellEnd"/>
      <w:r w:rsidRPr="00BD6644">
        <w:rPr>
          <w:i/>
        </w:rPr>
        <w:t>)</w:t>
      </w:r>
      <w:r>
        <w:t xml:space="preserve">, tuttavia sono privi di quei tanti doni e aiuti celesti che solo nella Chies acattolica è dato di godere». </w:t>
      </w:r>
    </w:p>
    <w:p w:rsidR="001836E7" w:rsidRDefault="001836E7" w:rsidP="001836E7">
      <w:pPr>
        <w:jc w:val="both"/>
      </w:pPr>
      <w:r>
        <w:t xml:space="preserve">Eppure è proprio sotto il pontificato di Pio XII che il S. Ufficio interviene sul vero significato dell’assioma </w:t>
      </w:r>
      <w:r w:rsidRPr="00FE540C">
        <w:rPr>
          <w:i/>
        </w:rPr>
        <w:t xml:space="preserve">«extra </w:t>
      </w:r>
      <w:proofErr w:type="spellStart"/>
      <w:r w:rsidRPr="00FE540C">
        <w:rPr>
          <w:i/>
        </w:rPr>
        <w:t>Ecclesiam</w:t>
      </w:r>
      <w:proofErr w:type="spellEnd"/>
      <w:r w:rsidRPr="00FE540C">
        <w:rPr>
          <w:i/>
        </w:rPr>
        <w:t xml:space="preserve"> nulla </w:t>
      </w:r>
      <w:proofErr w:type="spellStart"/>
      <w:r w:rsidRPr="00FE540C">
        <w:rPr>
          <w:i/>
        </w:rPr>
        <w:t>salus</w:t>
      </w:r>
      <w:proofErr w:type="spellEnd"/>
      <w:r w:rsidRPr="00FE540C">
        <w:rPr>
          <w:i/>
        </w:rPr>
        <w:t>»</w:t>
      </w:r>
      <w:r>
        <w:t xml:space="preserve">, contro la lettura rigorista e rigida del padre gesuita L. </w:t>
      </w:r>
      <w:proofErr w:type="spellStart"/>
      <w:r>
        <w:t>Feeney</w:t>
      </w:r>
      <w:proofErr w:type="spellEnd"/>
      <w:r>
        <w:t xml:space="preserve"> (1949).</w:t>
      </w:r>
    </w:p>
    <w:p w:rsidR="001836E7" w:rsidRDefault="001836E7" w:rsidP="001836E7">
      <w:pPr>
        <w:jc w:val="both"/>
      </w:pPr>
    </w:p>
    <w:p w:rsidR="00910CAC" w:rsidRPr="009C2C8C" w:rsidRDefault="001836E7" w:rsidP="00910CAC">
      <w:pPr>
        <w:jc w:val="center"/>
        <w:rPr>
          <w:i/>
        </w:rPr>
      </w:pPr>
      <w:r>
        <w:t xml:space="preserve">2. </w:t>
      </w:r>
      <w:r w:rsidR="00B26574">
        <w:rPr>
          <w:i/>
        </w:rPr>
        <w:t>Reazioni opposte alla scoperta della storicità</w:t>
      </w:r>
      <w:r w:rsidR="00910CAC">
        <w:rPr>
          <w:i/>
        </w:rPr>
        <w:t xml:space="preserve"> delle religioni: </w:t>
      </w:r>
    </w:p>
    <w:p w:rsidR="001836E7" w:rsidRPr="009C2C8C" w:rsidRDefault="001836E7" w:rsidP="001836E7">
      <w:pPr>
        <w:jc w:val="center"/>
        <w:rPr>
          <w:i/>
        </w:rPr>
      </w:pPr>
      <w:r w:rsidRPr="009C2C8C">
        <w:rPr>
          <w:i/>
        </w:rPr>
        <w:t xml:space="preserve">fondamentalismo </w:t>
      </w:r>
      <w:r w:rsidR="00910CAC">
        <w:rPr>
          <w:i/>
        </w:rPr>
        <w:t>o relativismo</w:t>
      </w:r>
    </w:p>
    <w:p w:rsidR="001836E7" w:rsidRDefault="001836E7" w:rsidP="001836E7">
      <w:pPr>
        <w:jc w:val="both"/>
      </w:pPr>
    </w:p>
    <w:p w:rsidR="001836E7" w:rsidRPr="008A4305" w:rsidRDefault="001F5D4A" w:rsidP="001836E7">
      <w:pPr>
        <w:jc w:val="both"/>
        <w:rPr>
          <w:i/>
        </w:rPr>
      </w:pPr>
      <w:r>
        <w:t>2.1.</w:t>
      </w:r>
      <w:r w:rsidR="001836E7" w:rsidRPr="008A4305">
        <w:rPr>
          <w:i/>
        </w:rPr>
        <w:t xml:space="preserve"> Il fondamentalismo</w:t>
      </w:r>
    </w:p>
    <w:p w:rsidR="001836E7" w:rsidRDefault="001836E7" w:rsidP="001836E7">
      <w:pPr>
        <w:jc w:val="both"/>
      </w:pPr>
    </w:p>
    <w:p w:rsidR="001836E7" w:rsidRDefault="001836E7" w:rsidP="001836E7">
      <w:pPr>
        <w:jc w:val="both"/>
        <w:rPr>
          <w:sz w:val="22"/>
        </w:rPr>
      </w:pPr>
      <w:r>
        <w:t xml:space="preserve">1. </w:t>
      </w:r>
      <w:r w:rsidRPr="00794EC9">
        <w:rPr>
          <w:i/>
        </w:rPr>
        <w:t>La relazione al fondamento implica sempre fanatismo?</w:t>
      </w:r>
      <w:r>
        <w:t xml:space="preserve"> La domanda non è oziosa. Corrisponde a un sospetto diffuso dal «pensiero debole», diffidente nei confronti della pretesa totalitaria inscritta in ogni ricerca di un fondamento ultimo. La trascrizione religiosa di tale pretesa e l’esito fondamentalista della religione appare inevitabile se si tiene conto della pretesa totalitaria e del coinvolgimento radicale inscritti in ogni autentica esperienza di fede. Se ne dovrebbe concludere che la religione non è adatta al contesto pluralista-relativista, a meno che non sia disposta a rinunciare alla radicalità del credere. Di fronte a simili sospetti è bene precisare la distinzione tra ricerca del fondamento e derive fondamentaliste</w:t>
      </w:r>
      <w:r w:rsidRPr="005B01A7">
        <w:rPr>
          <w:rStyle w:val="Rimandonotaapidipagina"/>
          <w:sz w:val="20"/>
          <w:szCs w:val="20"/>
        </w:rPr>
        <w:footnoteReference w:id="4"/>
      </w:r>
      <w:r>
        <w:rPr>
          <w:sz w:val="22"/>
        </w:rPr>
        <w:t>.</w:t>
      </w:r>
    </w:p>
    <w:p w:rsidR="001836E7" w:rsidRPr="00604C9A" w:rsidRDefault="001836E7" w:rsidP="001836E7">
      <w:pPr>
        <w:ind w:left="170" w:right="113"/>
        <w:jc w:val="both"/>
        <w:rPr>
          <w:sz w:val="22"/>
        </w:rPr>
      </w:pPr>
    </w:p>
    <w:p w:rsidR="001836E7" w:rsidRDefault="001836E7" w:rsidP="001836E7">
      <w:pPr>
        <w:jc w:val="both"/>
      </w:pPr>
      <w:r>
        <w:lastRenderedPageBreak/>
        <w:t xml:space="preserve">Occorre distinguere tra ricerca del fondamento e lettura fondamentalista della verità creduta. L’appropriazione della verità rimane storica e condizionata e non va assolutizzata. In questo contesto però ci si chiede se l’esperienza religiosa </w:t>
      </w:r>
      <w:r w:rsidR="002F2C9F">
        <w:t xml:space="preserve">possa </w:t>
      </w:r>
      <w:r>
        <w:t>lascia</w:t>
      </w:r>
      <w:r w:rsidR="002F2C9F">
        <w:t>re</w:t>
      </w:r>
      <w:r>
        <w:t xml:space="preserve"> spazio a una sana relativizzazione del proprio credo, dal momento che la fede implica un’adesione totale e incondizionata. Da qui il sospetto: il fondamentalismo è la forma più coerente della fede religiosa, che solo nella cultura moderna viene relativizzata e ridimensionata?</w:t>
      </w:r>
    </w:p>
    <w:p w:rsidR="001836E7" w:rsidRDefault="001836E7" w:rsidP="001836E7">
      <w:pPr>
        <w:jc w:val="both"/>
      </w:pPr>
    </w:p>
    <w:p w:rsidR="001836E7" w:rsidRDefault="001836E7" w:rsidP="001836E7">
      <w:pPr>
        <w:jc w:val="both"/>
      </w:pPr>
      <w:r>
        <w:t xml:space="preserve">2. Nel definire il fondamentalismo è importante chiarire se si tratta di un movimento trasversale alle religioni, e quindi inscritto nel loro patrimonio genetico, ovvero di una serie diversificata di fenomeni storici parziali e ben delimitati, connessi magari a un certo tipo di esperienza religiosa (rivelata piuttosto che mistica, basata sulla fede più che sull’esperienza spirituale, centrata sull’autorità più che sulle convinzioni personali). In questo secondo caso si dovrebbe parlare di </w:t>
      </w:r>
      <w:r w:rsidRPr="004D29B2">
        <w:rPr>
          <w:i/>
        </w:rPr>
        <w:t>fondamentalismi storici</w:t>
      </w:r>
      <w:r>
        <w:t>, legati a certi contesti epocali. In altri termini: si tratta di un dato religioso universale o di un fenomeno storico particolare? Da un lato, infatti, il fondamentalismo nasce in ambito Riformato americano alla fine dell’800 e si presenta come una crisi di rapporto tra fede e cultura moderna. Solo di recente si ripresenta in altre religioni, in forme diverse e contestualizzate in situazioni di conflitto o crisi. Ma dall’altro lato si nota una serie di tratti comuni a forme fondamentaliste di interpretazione della religione nella società (moderna). Si tratta quindi di un fenomeno generale o almeno generalizzabile</w:t>
      </w:r>
      <w:r w:rsidRPr="005B01A7">
        <w:rPr>
          <w:rStyle w:val="Rimandonotaapidipagina"/>
          <w:sz w:val="20"/>
          <w:szCs w:val="20"/>
        </w:rPr>
        <w:footnoteReference w:id="5"/>
      </w:r>
      <w:r>
        <w:t>. In questo contesto va assunta la questione terminologica, che distingue giustamente tra tradizionalismo, integrismo, fondamentalismo e radicalismo. L’integrismo e il tradizionalismo esprimono la comune certezza che i valori contenuti nel patrimonio della tradizione religiosa debbano essere rimessi in onore nella strutturazione della società: o perché la tradizione viene vista come deposito di valori universali non negoziabili (tradizionalismo) o perché si ritiene di poter ricavare dalla tradizione un progetto coerente e unitario di società a immagine di un modello ideale di società perfetta a cui si tende (integrismo). Il radicalismo invece consiste nella radicalizzazione delle esigenze della tradizione religiosa, presa alla lettera nelle sue indicazioni e tradotta in esigenza di lotta o militanza anche violenta nell’opposizione ai valori (decadenti) della società laica o secolarizzata. Perché si dia fondamentalismo è richiesto invece un certo tipo di rimando al testo sacro e un certo tipo di interpretazione del suo valore politico e culturale.</w:t>
      </w:r>
    </w:p>
    <w:p w:rsidR="001836E7" w:rsidRDefault="001836E7" w:rsidP="001836E7">
      <w:pPr>
        <w:jc w:val="both"/>
      </w:pPr>
    </w:p>
    <w:p w:rsidR="001836E7" w:rsidRDefault="001836E7" w:rsidP="001836E7">
      <w:pPr>
        <w:jc w:val="both"/>
      </w:pPr>
      <w:r>
        <w:t xml:space="preserve">3. </w:t>
      </w:r>
      <w:r w:rsidRPr="00AD18BE">
        <w:rPr>
          <w:i/>
        </w:rPr>
        <w:t>Verso una definizione</w:t>
      </w:r>
      <w:r>
        <w:t xml:space="preserve">. Nel fondamentalismo ritornano sempre quattro elementi (1) Il rimando a un testo sacro inteso in senso letterale: principio dell’inerranza del testo sacro anche nelle sue applicazioni sociali e politiche immediate; (2) il principio di </w:t>
      </w:r>
      <w:proofErr w:type="spellStart"/>
      <w:r w:rsidRPr="00AD18BE">
        <w:rPr>
          <w:i/>
        </w:rPr>
        <w:t>astoricità</w:t>
      </w:r>
      <w:proofErr w:type="spellEnd"/>
      <w:r w:rsidRPr="00AD18BE">
        <w:rPr>
          <w:i/>
        </w:rPr>
        <w:t xml:space="preserve"> della verità divina</w:t>
      </w:r>
      <w:r>
        <w:t xml:space="preserve"> in esso contenuta; (3) l’applicazione immediata delle pagine sacre alla struttura sociale e politica (a fronte della scoperta dei legami sociali deboli delle attuali democrazie); (4) il rimando a un modello ideale originario di società-comunità a cui ispirarsi (società perfetta). Va aggiunta la sindrome del nemico da combattere e la percezione di un conflitto apocalittico tra bene e male</w:t>
      </w:r>
      <w:r w:rsidRPr="005B01A7">
        <w:rPr>
          <w:rStyle w:val="Rimandonotaapidipagina"/>
          <w:sz w:val="20"/>
          <w:szCs w:val="20"/>
        </w:rPr>
        <w:footnoteReference w:id="6"/>
      </w:r>
      <w:r>
        <w:t xml:space="preserve">. L’elemento ricorrente del fondamentalismo si troverebbe quindi in una </w:t>
      </w:r>
      <w:r w:rsidRPr="00F24730">
        <w:rPr>
          <w:i/>
        </w:rPr>
        <w:t>reazione delle religioni alla cultura moderna</w:t>
      </w:r>
      <w:r>
        <w:t xml:space="preserve"> che da un lato ha relegato la religione in un sottosistema parziale dell’organismo sociale, marginalizzandone il valore nell’organizzare la vita, e dall’altro mostra l’incapacità di fondare la società su legami forti e valori alti. Alla crisi politica della società risponde il fondamentalismo religioso con l’offerta di valori forti e capaci di fondare la vita e i legami tra gli uomini. La diffusione del fenomeno si estenderebbe tanto quanto è estesa la crisi delle società secolarizzate o “laiche” e della loro cultura.</w:t>
      </w:r>
    </w:p>
    <w:p w:rsidR="001836E7" w:rsidRDefault="001836E7" w:rsidP="001836E7">
      <w:pPr>
        <w:jc w:val="both"/>
      </w:pPr>
    </w:p>
    <w:p w:rsidR="001836E7" w:rsidRDefault="001836E7" w:rsidP="001836E7">
      <w:pPr>
        <w:jc w:val="both"/>
      </w:pPr>
      <w:r>
        <w:t xml:space="preserve">4. </w:t>
      </w:r>
      <w:r w:rsidRPr="00AD18BE">
        <w:rPr>
          <w:i/>
        </w:rPr>
        <w:t>Alcune istanze ridimensionatici in ambito sociologico</w:t>
      </w:r>
      <w:r>
        <w:t xml:space="preserve"> </w:t>
      </w:r>
      <w:r w:rsidRPr="00272960">
        <w:rPr>
          <w:i/>
        </w:rPr>
        <w:t xml:space="preserve">(M. </w:t>
      </w:r>
      <w:proofErr w:type="spellStart"/>
      <w:r w:rsidRPr="00272960">
        <w:rPr>
          <w:i/>
        </w:rPr>
        <w:t>Introvigne</w:t>
      </w:r>
      <w:proofErr w:type="spellEnd"/>
      <w:r w:rsidRPr="00272960">
        <w:rPr>
          <w:i/>
        </w:rPr>
        <w:t>)</w:t>
      </w:r>
      <w:r>
        <w:t>. In verità il fondamentalismo può essere visto come una delle possibili risposte alla modernità da parte delle religioni, ma non l’unica né la più importante. E’ vero che la modernizzazione della società porta a un maggior successo delle aggregazioni religiose più rigoriste e conservatrici, poiché queste mantengono una maggiore tensione sociale e un più riuscito equilibrio tra costi e profitti (nell’ambito dei beni simbolici offerti). Non si tratta però di un esito “fondamentalista” della religione nella modernità, ma di una legge di funzionamento analoga alle regole del mercato (domanda-offerta). Ne deriva la distinzione, nelle grandi “offerte religiose” di nicchie di mercato, classificabili secondo la tabella qui esposta:</w:t>
      </w:r>
    </w:p>
    <w:p w:rsidR="001836E7" w:rsidRDefault="001836E7" w:rsidP="001836E7">
      <w:pPr>
        <w:jc w:val="both"/>
      </w:pPr>
    </w:p>
    <w:tbl>
      <w:tblPr>
        <w:tblStyle w:val="Grigliatabella"/>
        <w:tblW w:w="5000" w:type="pct"/>
        <w:tblLook w:val="01E0" w:firstRow="1" w:lastRow="1" w:firstColumn="1" w:lastColumn="1" w:noHBand="0" w:noVBand="0"/>
      </w:tblPr>
      <w:tblGrid>
        <w:gridCol w:w="1637"/>
        <w:gridCol w:w="1409"/>
        <w:gridCol w:w="1194"/>
        <w:gridCol w:w="1922"/>
        <w:gridCol w:w="1538"/>
        <w:gridCol w:w="2154"/>
      </w:tblGrid>
      <w:tr w:rsidR="001836E7" w:rsidTr="0083129E">
        <w:tc>
          <w:tcPr>
            <w:tcW w:w="830" w:type="pct"/>
          </w:tcPr>
          <w:p w:rsidR="001836E7" w:rsidRPr="004C1674" w:rsidRDefault="001836E7" w:rsidP="0083129E">
            <w:pPr>
              <w:jc w:val="both"/>
              <w:rPr>
                <w:i/>
                <w:sz w:val="20"/>
                <w:szCs w:val="20"/>
              </w:rPr>
            </w:pPr>
            <w:r w:rsidRPr="004C1674">
              <w:rPr>
                <w:i/>
                <w:sz w:val="20"/>
                <w:szCs w:val="20"/>
              </w:rPr>
              <w:t>Tipo</w:t>
            </w:r>
          </w:p>
        </w:tc>
        <w:tc>
          <w:tcPr>
            <w:tcW w:w="715" w:type="pct"/>
          </w:tcPr>
          <w:p w:rsidR="001836E7" w:rsidRPr="00A36BE9" w:rsidRDefault="001836E7" w:rsidP="0083129E">
            <w:pPr>
              <w:jc w:val="both"/>
              <w:rPr>
                <w:sz w:val="20"/>
                <w:szCs w:val="20"/>
              </w:rPr>
            </w:pPr>
            <w:r>
              <w:rPr>
                <w:sz w:val="20"/>
                <w:szCs w:val="20"/>
              </w:rPr>
              <w:t>Ultra-progressista</w:t>
            </w:r>
          </w:p>
        </w:tc>
        <w:tc>
          <w:tcPr>
            <w:tcW w:w="606" w:type="pct"/>
          </w:tcPr>
          <w:p w:rsidR="001836E7" w:rsidRPr="00A36BE9" w:rsidRDefault="001836E7" w:rsidP="0083129E">
            <w:pPr>
              <w:jc w:val="both"/>
              <w:rPr>
                <w:sz w:val="20"/>
                <w:szCs w:val="20"/>
              </w:rPr>
            </w:pPr>
            <w:r>
              <w:rPr>
                <w:sz w:val="20"/>
                <w:szCs w:val="20"/>
              </w:rPr>
              <w:t>progressista</w:t>
            </w:r>
          </w:p>
        </w:tc>
        <w:tc>
          <w:tcPr>
            <w:tcW w:w="975" w:type="pct"/>
          </w:tcPr>
          <w:p w:rsidR="001836E7" w:rsidRPr="00A36BE9" w:rsidRDefault="001836E7" w:rsidP="0083129E">
            <w:pPr>
              <w:jc w:val="both"/>
              <w:rPr>
                <w:sz w:val="20"/>
                <w:szCs w:val="20"/>
              </w:rPr>
            </w:pPr>
            <w:r>
              <w:rPr>
                <w:sz w:val="20"/>
                <w:szCs w:val="20"/>
              </w:rPr>
              <w:t>Conservatore</w:t>
            </w:r>
          </w:p>
        </w:tc>
        <w:tc>
          <w:tcPr>
            <w:tcW w:w="780" w:type="pct"/>
          </w:tcPr>
          <w:p w:rsidR="001836E7" w:rsidRPr="00A36BE9" w:rsidRDefault="001836E7" w:rsidP="0083129E">
            <w:pPr>
              <w:jc w:val="both"/>
              <w:rPr>
                <w:sz w:val="20"/>
                <w:szCs w:val="20"/>
              </w:rPr>
            </w:pPr>
            <w:r>
              <w:rPr>
                <w:sz w:val="20"/>
                <w:szCs w:val="20"/>
              </w:rPr>
              <w:t>Fondamentalista</w:t>
            </w:r>
          </w:p>
        </w:tc>
        <w:tc>
          <w:tcPr>
            <w:tcW w:w="1093" w:type="pct"/>
          </w:tcPr>
          <w:p w:rsidR="001836E7" w:rsidRPr="00A36BE9" w:rsidRDefault="001836E7" w:rsidP="0083129E">
            <w:pPr>
              <w:jc w:val="both"/>
              <w:rPr>
                <w:sz w:val="20"/>
                <w:szCs w:val="20"/>
              </w:rPr>
            </w:pPr>
            <w:r>
              <w:rPr>
                <w:sz w:val="20"/>
                <w:szCs w:val="20"/>
              </w:rPr>
              <w:t>Radicale (ultra-fondamentalista)</w:t>
            </w:r>
          </w:p>
        </w:tc>
      </w:tr>
      <w:tr w:rsidR="001836E7" w:rsidTr="0083129E">
        <w:tc>
          <w:tcPr>
            <w:tcW w:w="830" w:type="pct"/>
          </w:tcPr>
          <w:p w:rsidR="001836E7" w:rsidRPr="004C1674" w:rsidRDefault="001836E7" w:rsidP="0083129E">
            <w:pPr>
              <w:jc w:val="both"/>
              <w:rPr>
                <w:i/>
                <w:sz w:val="20"/>
                <w:szCs w:val="20"/>
              </w:rPr>
            </w:pPr>
            <w:r w:rsidRPr="004C1674">
              <w:rPr>
                <w:i/>
                <w:sz w:val="20"/>
                <w:szCs w:val="20"/>
              </w:rPr>
              <w:t>Nicchia</w:t>
            </w:r>
          </w:p>
        </w:tc>
        <w:tc>
          <w:tcPr>
            <w:tcW w:w="715" w:type="pct"/>
          </w:tcPr>
          <w:p w:rsidR="001836E7" w:rsidRPr="00A36BE9" w:rsidRDefault="001836E7" w:rsidP="0083129E">
            <w:pPr>
              <w:jc w:val="both"/>
              <w:rPr>
                <w:sz w:val="20"/>
                <w:szCs w:val="20"/>
              </w:rPr>
            </w:pPr>
            <w:r>
              <w:rPr>
                <w:sz w:val="20"/>
                <w:szCs w:val="20"/>
              </w:rPr>
              <w:t>Ultra-</w:t>
            </w:r>
            <w:proofErr w:type="spellStart"/>
            <w:r>
              <w:rPr>
                <w:sz w:val="20"/>
                <w:szCs w:val="20"/>
              </w:rPr>
              <w:t>progressita</w:t>
            </w:r>
            <w:proofErr w:type="spellEnd"/>
          </w:p>
        </w:tc>
        <w:tc>
          <w:tcPr>
            <w:tcW w:w="606" w:type="pct"/>
          </w:tcPr>
          <w:p w:rsidR="001836E7" w:rsidRPr="00A36BE9" w:rsidRDefault="001836E7" w:rsidP="0083129E">
            <w:pPr>
              <w:jc w:val="both"/>
              <w:rPr>
                <w:sz w:val="20"/>
                <w:szCs w:val="20"/>
              </w:rPr>
            </w:pPr>
            <w:r>
              <w:rPr>
                <w:sz w:val="20"/>
                <w:szCs w:val="20"/>
              </w:rPr>
              <w:t>progressista</w:t>
            </w:r>
          </w:p>
        </w:tc>
        <w:tc>
          <w:tcPr>
            <w:tcW w:w="975" w:type="pct"/>
          </w:tcPr>
          <w:p w:rsidR="001836E7" w:rsidRPr="00A36BE9" w:rsidRDefault="001836E7" w:rsidP="0083129E">
            <w:pPr>
              <w:jc w:val="both"/>
              <w:rPr>
                <w:sz w:val="20"/>
                <w:szCs w:val="20"/>
              </w:rPr>
            </w:pPr>
            <w:r>
              <w:rPr>
                <w:sz w:val="20"/>
                <w:szCs w:val="20"/>
              </w:rPr>
              <w:t>Conservatrice</w:t>
            </w:r>
          </w:p>
        </w:tc>
        <w:tc>
          <w:tcPr>
            <w:tcW w:w="780" w:type="pct"/>
          </w:tcPr>
          <w:p w:rsidR="001836E7" w:rsidRPr="003A549E" w:rsidRDefault="001836E7" w:rsidP="0083129E">
            <w:pPr>
              <w:jc w:val="both"/>
              <w:rPr>
                <w:i/>
                <w:sz w:val="20"/>
                <w:szCs w:val="20"/>
              </w:rPr>
            </w:pPr>
            <w:proofErr w:type="spellStart"/>
            <w:r w:rsidRPr="003A549E">
              <w:rPr>
                <w:i/>
                <w:sz w:val="20"/>
                <w:szCs w:val="20"/>
              </w:rPr>
              <w:t>Strict</w:t>
            </w:r>
            <w:proofErr w:type="spellEnd"/>
          </w:p>
        </w:tc>
        <w:tc>
          <w:tcPr>
            <w:tcW w:w="1093" w:type="pct"/>
          </w:tcPr>
          <w:p w:rsidR="001836E7" w:rsidRPr="003A549E" w:rsidRDefault="001836E7" w:rsidP="0083129E">
            <w:pPr>
              <w:jc w:val="both"/>
              <w:rPr>
                <w:i/>
                <w:sz w:val="20"/>
                <w:szCs w:val="20"/>
              </w:rPr>
            </w:pPr>
            <w:r>
              <w:rPr>
                <w:i/>
                <w:sz w:val="20"/>
                <w:szCs w:val="20"/>
              </w:rPr>
              <w:t>u</w:t>
            </w:r>
            <w:r w:rsidRPr="003A549E">
              <w:rPr>
                <w:i/>
                <w:sz w:val="20"/>
                <w:szCs w:val="20"/>
              </w:rPr>
              <w:t>ltra-</w:t>
            </w:r>
            <w:proofErr w:type="spellStart"/>
            <w:r w:rsidRPr="003A549E">
              <w:rPr>
                <w:i/>
                <w:sz w:val="20"/>
                <w:szCs w:val="20"/>
              </w:rPr>
              <w:t>strict</w:t>
            </w:r>
            <w:proofErr w:type="spellEnd"/>
          </w:p>
        </w:tc>
      </w:tr>
      <w:tr w:rsidR="001836E7" w:rsidTr="0083129E">
        <w:tc>
          <w:tcPr>
            <w:tcW w:w="830" w:type="pct"/>
          </w:tcPr>
          <w:p w:rsidR="001836E7" w:rsidRPr="004C1674" w:rsidRDefault="001836E7" w:rsidP="0083129E">
            <w:pPr>
              <w:jc w:val="both"/>
              <w:rPr>
                <w:i/>
                <w:sz w:val="20"/>
                <w:szCs w:val="20"/>
              </w:rPr>
            </w:pPr>
            <w:r w:rsidRPr="004C1674">
              <w:rPr>
                <w:i/>
                <w:sz w:val="20"/>
                <w:szCs w:val="20"/>
              </w:rPr>
              <w:t>Rapporto religione-cultura</w:t>
            </w:r>
          </w:p>
        </w:tc>
        <w:tc>
          <w:tcPr>
            <w:tcW w:w="715" w:type="pct"/>
          </w:tcPr>
          <w:p w:rsidR="001836E7" w:rsidRDefault="001836E7" w:rsidP="0083129E">
            <w:pPr>
              <w:jc w:val="both"/>
              <w:rPr>
                <w:sz w:val="20"/>
                <w:szCs w:val="20"/>
              </w:rPr>
            </w:pPr>
            <w:r>
              <w:rPr>
                <w:sz w:val="20"/>
                <w:szCs w:val="20"/>
              </w:rPr>
              <w:t>Separazione</w:t>
            </w:r>
          </w:p>
          <w:p w:rsidR="001836E7" w:rsidRPr="00A36BE9" w:rsidRDefault="001836E7" w:rsidP="0083129E">
            <w:pPr>
              <w:jc w:val="both"/>
              <w:rPr>
                <w:sz w:val="20"/>
                <w:szCs w:val="20"/>
              </w:rPr>
            </w:pPr>
            <w:r>
              <w:rPr>
                <w:sz w:val="20"/>
                <w:szCs w:val="20"/>
              </w:rPr>
              <w:t>(promossa)</w:t>
            </w:r>
          </w:p>
        </w:tc>
        <w:tc>
          <w:tcPr>
            <w:tcW w:w="606" w:type="pct"/>
          </w:tcPr>
          <w:p w:rsidR="001836E7" w:rsidRDefault="001836E7" w:rsidP="0083129E">
            <w:pPr>
              <w:jc w:val="both"/>
              <w:rPr>
                <w:sz w:val="20"/>
                <w:szCs w:val="20"/>
              </w:rPr>
            </w:pPr>
            <w:r>
              <w:rPr>
                <w:sz w:val="20"/>
                <w:szCs w:val="20"/>
              </w:rPr>
              <w:t>Separazione</w:t>
            </w:r>
          </w:p>
          <w:p w:rsidR="001836E7" w:rsidRPr="00A36BE9" w:rsidRDefault="001836E7" w:rsidP="0083129E">
            <w:pPr>
              <w:jc w:val="both"/>
              <w:rPr>
                <w:sz w:val="20"/>
                <w:szCs w:val="20"/>
              </w:rPr>
            </w:pPr>
            <w:r>
              <w:rPr>
                <w:sz w:val="20"/>
                <w:szCs w:val="20"/>
              </w:rPr>
              <w:t>(accettata)</w:t>
            </w:r>
          </w:p>
        </w:tc>
        <w:tc>
          <w:tcPr>
            <w:tcW w:w="975" w:type="pct"/>
          </w:tcPr>
          <w:p w:rsidR="001836E7" w:rsidRPr="00A36BE9" w:rsidRDefault="001836E7" w:rsidP="0083129E">
            <w:pPr>
              <w:jc w:val="both"/>
              <w:rPr>
                <w:sz w:val="20"/>
                <w:szCs w:val="20"/>
              </w:rPr>
            </w:pPr>
            <w:r>
              <w:rPr>
                <w:sz w:val="20"/>
                <w:szCs w:val="20"/>
              </w:rPr>
              <w:t>Distinzione e collaborazione</w:t>
            </w:r>
          </w:p>
        </w:tc>
        <w:tc>
          <w:tcPr>
            <w:tcW w:w="780" w:type="pct"/>
          </w:tcPr>
          <w:p w:rsidR="001836E7" w:rsidRPr="00A36BE9" w:rsidRDefault="001836E7" w:rsidP="0083129E">
            <w:pPr>
              <w:jc w:val="both"/>
              <w:rPr>
                <w:sz w:val="20"/>
                <w:szCs w:val="20"/>
              </w:rPr>
            </w:pPr>
            <w:r>
              <w:rPr>
                <w:sz w:val="20"/>
                <w:szCs w:val="20"/>
              </w:rPr>
              <w:t>Fusione</w:t>
            </w:r>
          </w:p>
        </w:tc>
        <w:tc>
          <w:tcPr>
            <w:tcW w:w="1093" w:type="pct"/>
          </w:tcPr>
          <w:p w:rsidR="001836E7" w:rsidRPr="00A36BE9" w:rsidRDefault="001836E7" w:rsidP="0083129E">
            <w:pPr>
              <w:jc w:val="both"/>
              <w:rPr>
                <w:sz w:val="20"/>
                <w:szCs w:val="20"/>
              </w:rPr>
            </w:pPr>
            <w:r>
              <w:rPr>
                <w:sz w:val="20"/>
                <w:szCs w:val="20"/>
              </w:rPr>
              <w:t>Identità assoluta</w:t>
            </w:r>
          </w:p>
        </w:tc>
      </w:tr>
      <w:tr w:rsidR="001836E7" w:rsidTr="0083129E">
        <w:tc>
          <w:tcPr>
            <w:tcW w:w="830" w:type="pct"/>
          </w:tcPr>
          <w:p w:rsidR="001836E7" w:rsidRPr="004C1674" w:rsidRDefault="001836E7" w:rsidP="0083129E">
            <w:pPr>
              <w:jc w:val="both"/>
              <w:rPr>
                <w:i/>
                <w:sz w:val="20"/>
                <w:szCs w:val="20"/>
              </w:rPr>
            </w:pPr>
            <w:r w:rsidRPr="004C1674">
              <w:rPr>
                <w:i/>
                <w:sz w:val="20"/>
                <w:szCs w:val="20"/>
              </w:rPr>
              <w:t>Livello</w:t>
            </w:r>
          </w:p>
          <w:p w:rsidR="001836E7" w:rsidRPr="00A36BE9" w:rsidRDefault="001836E7" w:rsidP="0083129E">
            <w:pPr>
              <w:jc w:val="both"/>
              <w:rPr>
                <w:sz w:val="20"/>
                <w:szCs w:val="20"/>
              </w:rPr>
            </w:pPr>
            <w:r w:rsidRPr="004C1674">
              <w:rPr>
                <w:i/>
                <w:sz w:val="20"/>
                <w:szCs w:val="20"/>
              </w:rPr>
              <w:t>di tensione</w:t>
            </w:r>
          </w:p>
        </w:tc>
        <w:tc>
          <w:tcPr>
            <w:tcW w:w="715" w:type="pct"/>
          </w:tcPr>
          <w:p w:rsidR="001836E7" w:rsidRPr="00A36BE9" w:rsidRDefault="001836E7" w:rsidP="0083129E">
            <w:pPr>
              <w:jc w:val="both"/>
              <w:rPr>
                <w:sz w:val="20"/>
                <w:szCs w:val="20"/>
              </w:rPr>
            </w:pPr>
            <w:r>
              <w:rPr>
                <w:sz w:val="20"/>
                <w:szCs w:val="20"/>
              </w:rPr>
              <w:t>Molto basso</w:t>
            </w:r>
          </w:p>
        </w:tc>
        <w:tc>
          <w:tcPr>
            <w:tcW w:w="606" w:type="pct"/>
          </w:tcPr>
          <w:p w:rsidR="001836E7" w:rsidRPr="00A36BE9" w:rsidRDefault="001836E7" w:rsidP="0083129E">
            <w:pPr>
              <w:jc w:val="both"/>
              <w:rPr>
                <w:sz w:val="20"/>
                <w:szCs w:val="20"/>
              </w:rPr>
            </w:pPr>
            <w:r>
              <w:rPr>
                <w:sz w:val="20"/>
                <w:szCs w:val="20"/>
              </w:rPr>
              <w:t>Basso</w:t>
            </w:r>
          </w:p>
        </w:tc>
        <w:tc>
          <w:tcPr>
            <w:tcW w:w="975" w:type="pct"/>
          </w:tcPr>
          <w:p w:rsidR="001836E7" w:rsidRPr="00A36BE9" w:rsidRDefault="001836E7" w:rsidP="0083129E">
            <w:pPr>
              <w:jc w:val="both"/>
              <w:rPr>
                <w:sz w:val="20"/>
                <w:szCs w:val="20"/>
              </w:rPr>
            </w:pPr>
            <w:r>
              <w:rPr>
                <w:sz w:val="20"/>
                <w:szCs w:val="20"/>
              </w:rPr>
              <w:t>Medio</w:t>
            </w:r>
          </w:p>
        </w:tc>
        <w:tc>
          <w:tcPr>
            <w:tcW w:w="780" w:type="pct"/>
          </w:tcPr>
          <w:p w:rsidR="001836E7" w:rsidRPr="00A36BE9" w:rsidRDefault="001836E7" w:rsidP="0083129E">
            <w:pPr>
              <w:jc w:val="both"/>
              <w:rPr>
                <w:sz w:val="20"/>
                <w:szCs w:val="20"/>
              </w:rPr>
            </w:pPr>
            <w:r>
              <w:rPr>
                <w:sz w:val="20"/>
                <w:szCs w:val="20"/>
              </w:rPr>
              <w:t>Alto</w:t>
            </w:r>
          </w:p>
        </w:tc>
        <w:tc>
          <w:tcPr>
            <w:tcW w:w="1093" w:type="pct"/>
          </w:tcPr>
          <w:p w:rsidR="001836E7" w:rsidRPr="00A36BE9" w:rsidRDefault="001836E7" w:rsidP="0083129E">
            <w:pPr>
              <w:jc w:val="both"/>
              <w:rPr>
                <w:sz w:val="20"/>
                <w:szCs w:val="20"/>
              </w:rPr>
            </w:pPr>
            <w:r>
              <w:rPr>
                <w:sz w:val="20"/>
                <w:szCs w:val="20"/>
              </w:rPr>
              <w:t>Molto alto</w:t>
            </w:r>
          </w:p>
        </w:tc>
      </w:tr>
      <w:tr w:rsidR="001836E7" w:rsidTr="0083129E">
        <w:tc>
          <w:tcPr>
            <w:tcW w:w="830" w:type="pct"/>
          </w:tcPr>
          <w:p w:rsidR="001836E7" w:rsidRPr="004C1674" w:rsidRDefault="001836E7" w:rsidP="0083129E">
            <w:pPr>
              <w:jc w:val="both"/>
              <w:rPr>
                <w:i/>
                <w:sz w:val="20"/>
                <w:szCs w:val="20"/>
              </w:rPr>
            </w:pPr>
            <w:r w:rsidRPr="004C1674">
              <w:rPr>
                <w:i/>
                <w:sz w:val="20"/>
                <w:szCs w:val="20"/>
              </w:rPr>
              <w:t>Costi</w:t>
            </w:r>
          </w:p>
        </w:tc>
        <w:tc>
          <w:tcPr>
            <w:tcW w:w="715" w:type="pct"/>
          </w:tcPr>
          <w:p w:rsidR="001836E7" w:rsidRPr="00A36BE9" w:rsidRDefault="001836E7" w:rsidP="0083129E">
            <w:pPr>
              <w:jc w:val="both"/>
              <w:rPr>
                <w:sz w:val="20"/>
                <w:szCs w:val="20"/>
              </w:rPr>
            </w:pPr>
            <w:r>
              <w:rPr>
                <w:sz w:val="20"/>
                <w:szCs w:val="20"/>
              </w:rPr>
              <w:t>Molto bassi</w:t>
            </w:r>
          </w:p>
        </w:tc>
        <w:tc>
          <w:tcPr>
            <w:tcW w:w="606" w:type="pct"/>
          </w:tcPr>
          <w:p w:rsidR="001836E7" w:rsidRPr="00A36BE9" w:rsidRDefault="001836E7" w:rsidP="0083129E">
            <w:pPr>
              <w:jc w:val="both"/>
              <w:rPr>
                <w:sz w:val="20"/>
                <w:szCs w:val="20"/>
              </w:rPr>
            </w:pPr>
            <w:r>
              <w:rPr>
                <w:sz w:val="20"/>
                <w:szCs w:val="20"/>
              </w:rPr>
              <w:t>Bassi</w:t>
            </w:r>
          </w:p>
        </w:tc>
        <w:tc>
          <w:tcPr>
            <w:tcW w:w="975" w:type="pct"/>
          </w:tcPr>
          <w:p w:rsidR="001836E7" w:rsidRPr="00A36BE9" w:rsidRDefault="001836E7" w:rsidP="0083129E">
            <w:pPr>
              <w:jc w:val="both"/>
              <w:rPr>
                <w:sz w:val="20"/>
                <w:szCs w:val="20"/>
              </w:rPr>
            </w:pPr>
            <w:r>
              <w:rPr>
                <w:sz w:val="20"/>
                <w:szCs w:val="20"/>
              </w:rPr>
              <w:t>Medi</w:t>
            </w:r>
          </w:p>
        </w:tc>
        <w:tc>
          <w:tcPr>
            <w:tcW w:w="780" w:type="pct"/>
          </w:tcPr>
          <w:p w:rsidR="001836E7" w:rsidRPr="00A36BE9" w:rsidRDefault="001836E7" w:rsidP="0083129E">
            <w:pPr>
              <w:jc w:val="both"/>
              <w:rPr>
                <w:sz w:val="20"/>
                <w:szCs w:val="20"/>
              </w:rPr>
            </w:pPr>
            <w:r>
              <w:rPr>
                <w:sz w:val="20"/>
                <w:szCs w:val="20"/>
              </w:rPr>
              <w:t>Alti</w:t>
            </w:r>
          </w:p>
        </w:tc>
        <w:tc>
          <w:tcPr>
            <w:tcW w:w="1093" w:type="pct"/>
          </w:tcPr>
          <w:p w:rsidR="001836E7" w:rsidRPr="00A36BE9" w:rsidRDefault="001836E7" w:rsidP="0083129E">
            <w:pPr>
              <w:jc w:val="both"/>
              <w:rPr>
                <w:sz w:val="20"/>
                <w:szCs w:val="20"/>
              </w:rPr>
            </w:pPr>
            <w:r>
              <w:rPr>
                <w:sz w:val="20"/>
                <w:szCs w:val="20"/>
              </w:rPr>
              <w:t>Molto alti</w:t>
            </w:r>
          </w:p>
        </w:tc>
      </w:tr>
    </w:tbl>
    <w:p w:rsidR="001836E7" w:rsidRDefault="001836E7" w:rsidP="001836E7">
      <w:pPr>
        <w:jc w:val="both"/>
      </w:pPr>
    </w:p>
    <w:p w:rsidR="001836E7" w:rsidRDefault="001836E7" w:rsidP="001836E7">
      <w:pPr>
        <w:jc w:val="both"/>
      </w:pPr>
      <w:r>
        <w:t>Questo tipo di discorso tende a relativizzare la nozione di “fondamentalismo”, nel senso che mette in luce come non si tratti di una deriva inevitabile della religione nella modernità, pur essendo una possibile forma del rapporto tra religione e cultura moderna. Comunque non è una forma maggioritaria. Di fatto il fondamentalismo identifica un fenomeno storico preciso e delimitato, che assume varie forme nelle varie religioni e nei diversi contesti culturali: «Dal punto di vista ideologico il fondamentalismo è definito come un movimento di reazione all’emarginazione della religione. E’ selettivo, in quanto sceglie alcuni aspetti della tradizione che vuole difendere e identifica nella modernità alcuni bersagli da colpire. Tende a una sorta di manicheismo morale, dividendo il mondo in “noi” e “loro”. Adotta un principio di assolutismo e infallibilità riferito alle sacre scritture. Tende ad adottare una prospettiva millenarista. Dal punto di vista organizzativo il fondamentalismo – o meglio i fondamentalismi, perché ne esistono diverse specie – tendono a considerare i loro membri come un gruppo di eletti in lotta contro il mondo corrotto. Stabiliscono frontiere nette tra chi fa parte del gruppo e chi ne è fuori. Emanano regole di comportamento con grande valore simbolico…»</w:t>
      </w:r>
      <w:r w:rsidRPr="005B01A7">
        <w:rPr>
          <w:rStyle w:val="Rimandonotaapidipagina"/>
          <w:sz w:val="20"/>
          <w:szCs w:val="20"/>
        </w:rPr>
        <w:footnoteReference w:id="7"/>
      </w:r>
      <w:r>
        <w:t>.</w:t>
      </w:r>
    </w:p>
    <w:p w:rsidR="001836E7" w:rsidRDefault="001836E7" w:rsidP="001836E7">
      <w:pPr>
        <w:jc w:val="both"/>
      </w:pPr>
    </w:p>
    <w:p w:rsidR="001836E7" w:rsidRDefault="001836E7" w:rsidP="001836E7">
      <w:pPr>
        <w:jc w:val="both"/>
      </w:pPr>
      <w:smartTag w:uri="urn:schemas-microsoft-com:office:smarttags" w:element="metricconverter">
        <w:smartTagPr>
          <w:attr w:name="ProductID" w:val="5. A"/>
        </w:smartTagPr>
        <w:r>
          <w:t>5. A</w:t>
        </w:r>
      </w:smartTag>
      <w:r>
        <w:t xml:space="preserve"> questo punto possiamo raccogliere </w:t>
      </w:r>
      <w:r w:rsidRPr="00B865B3">
        <w:rPr>
          <w:i/>
        </w:rPr>
        <w:t>il contributo della psicologia</w:t>
      </w:r>
      <w:r>
        <w:t>. Essa mette in luce come il fondamentalismo non sia una deriva della razionalità, ma uno stato della coscienza che fatica ad elaborare un’identità chiara, in contesto pluralista e a rischio di confusione. I meccanismi che lo generano rimandano a dinamiche di “autoreferenzialità acritica”: il rimando “feticistico” al testo sacro (inteso appunto come totalità senza fratture e senza un contesto, in relazione al quale interpretarlo) e l’appello assolutistico all’esperienza («se non provi, non capisci, e per provare veramente devi affidarti al gruppo-</w:t>
      </w:r>
      <w:proofErr w:type="spellStart"/>
      <w:r>
        <w:t>sètta</w:t>
      </w:r>
      <w:proofErr w:type="spellEnd"/>
      <w:r>
        <w:t xml:space="preserve"> o all’esperienza carismatica del fondatore). Si nota quindi nel fondamentalismo il passaggio dal funzionamento transazionale della religione (strumento per dare senso al reale e abitarlo, adattandovisi in modo positivo) a quello feticistico (la religione diventa il mondo, il vero reale da costruire  imporre all’esperienza). In tal senso il fondamentalismo segnala un problema di strutturazione delle identità personale e collettiva</w:t>
      </w:r>
      <w:r w:rsidRPr="005B01A7">
        <w:rPr>
          <w:rStyle w:val="Rimandonotaapidipagina"/>
          <w:sz w:val="20"/>
          <w:szCs w:val="20"/>
        </w:rPr>
        <w:footnoteReference w:id="8"/>
      </w:r>
      <w:r>
        <w:t>.</w:t>
      </w:r>
    </w:p>
    <w:p w:rsidR="001836E7" w:rsidRDefault="001836E7" w:rsidP="001836E7">
      <w:pPr>
        <w:jc w:val="both"/>
      </w:pPr>
    </w:p>
    <w:p w:rsidR="001836E7" w:rsidRDefault="001836E7" w:rsidP="001836E7">
      <w:pPr>
        <w:jc w:val="both"/>
      </w:pPr>
      <w:r w:rsidRPr="00B865B3">
        <w:rPr>
          <w:i/>
        </w:rPr>
        <w:t>Conclusione:</w:t>
      </w:r>
      <w:r>
        <w:t xml:space="preserve"> il fondamentalismo non è una patologia del fenomeno religioso, una sua più o meno inevitabile deriva nella modernità, una reazione malata al pluralismo. Si tratta piuttosto di un problema di rapporto tra religione-cultura nell’ambito della modernità.</w:t>
      </w:r>
    </w:p>
    <w:p w:rsidR="001836E7" w:rsidRDefault="001836E7" w:rsidP="001836E7">
      <w:pPr>
        <w:jc w:val="both"/>
      </w:pPr>
    </w:p>
    <w:p w:rsidR="001836E7" w:rsidRPr="008A4305" w:rsidRDefault="001F5D4A" w:rsidP="001836E7">
      <w:pPr>
        <w:jc w:val="both"/>
        <w:rPr>
          <w:i/>
        </w:rPr>
      </w:pPr>
      <w:r>
        <w:t>2.2.</w:t>
      </w:r>
      <w:r w:rsidR="001836E7" w:rsidRPr="008A4305">
        <w:rPr>
          <w:i/>
        </w:rPr>
        <w:t xml:space="preserve"> Il relativismo</w:t>
      </w:r>
    </w:p>
    <w:p w:rsidR="001836E7" w:rsidRDefault="001836E7" w:rsidP="001836E7">
      <w:pPr>
        <w:jc w:val="both"/>
      </w:pPr>
    </w:p>
    <w:p w:rsidR="001836E7" w:rsidRDefault="001836E7" w:rsidP="001836E7">
      <w:pPr>
        <w:jc w:val="both"/>
      </w:pPr>
      <w:r>
        <w:t xml:space="preserve">Il relativismo è anzitutto un dato culturale che connota il cristianesimo nel mondo Occidentale e soprattutto in Europa. A denunciarne la presenza e le ambiguità è il cardinale </w:t>
      </w:r>
      <w:r w:rsidRPr="00B865B3">
        <w:rPr>
          <w:i/>
        </w:rPr>
        <w:t>J. Ratzinger</w:t>
      </w:r>
      <w:r>
        <w:t>, in una conferenza tenuta alla Sorbona, in occasione del Grande Giubileo:</w:t>
      </w:r>
    </w:p>
    <w:p w:rsidR="001836E7" w:rsidRDefault="001836E7" w:rsidP="001836E7">
      <w:pPr>
        <w:ind w:left="170" w:right="113"/>
        <w:jc w:val="both"/>
        <w:rPr>
          <w:sz w:val="22"/>
        </w:rPr>
      </w:pPr>
    </w:p>
    <w:p w:rsidR="001836E7" w:rsidRDefault="001836E7" w:rsidP="001836E7">
      <w:pPr>
        <w:ind w:left="170" w:right="113"/>
        <w:jc w:val="both"/>
        <w:rPr>
          <w:sz w:val="22"/>
        </w:rPr>
      </w:pPr>
      <w:r>
        <w:rPr>
          <w:sz w:val="22"/>
        </w:rPr>
        <w:t>«Al termine del secondo millennio cristiano, il cristianesimo si trova, proprio nel luogo della sua originaria diffusione, in Europa, in una crisi profonda, basata sulla crisi della sua pretesa alla verità. Questa crisi ha una doppia dimensione: innanzitutto ci si domanda con sempre maggior insistenza se sia giusto, in fondo, applicare il concetto di verità alla religione; in altri termini, se sia dato all’uomo conoscere la verità propriamente detta su Dio e le cose divine. […] Questo scetticismo del tutto generale nei confronti della pretesa alla verità in materia religiosa è ulteriormente consolidato dai dubbi che la scienza moderna ha sollevato riguardo alle origini e ai contenuti del cristianesimo»</w:t>
      </w:r>
      <w:r w:rsidRPr="005B01A7">
        <w:rPr>
          <w:rStyle w:val="Rimandonotaapidipagina"/>
          <w:sz w:val="20"/>
          <w:szCs w:val="20"/>
        </w:rPr>
        <w:footnoteReference w:id="9"/>
      </w:r>
      <w:r>
        <w:rPr>
          <w:sz w:val="22"/>
        </w:rPr>
        <w:t>.</w:t>
      </w:r>
    </w:p>
    <w:p w:rsidR="001836E7" w:rsidRPr="00AE0565" w:rsidRDefault="001836E7" w:rsidP="001836E7">
      <w:pPr>
        <w:ind w:left="170" w:right="113"/>
        <w:jc w:val="both"/>
        <w:rPr>
          <w:sz w:val="22"/>
        </w:rPr>
      </w:pPr>
    </w:p>
    <w:p w:rsidR="001836E7" w:rsidRDefault="001836E7" w:rsidP="001836E7">
      <w:pPr>
        <w:jc w:val="both"/>
      </w:pPr>
      <w:r>
        <w:t xml:space="preserve">Ma una simile problematica non mette in gioco tanto il funzionamento della religione, quanto la concezione di cultura, nella quale la verità religiosa è accolta e mediata. Occorre verificare proprio la comprensione della cultura. </w:t>
      </w:r>
    </w:p>
    <w:p w:rsidR="001836E7" w:rsidRDefault="001836E7" w:rsidP="001836E7">
      <w:pPr>
        <w:pStyle w:val="Corpotesto"/>
        <w:rPr>
          <w:sz w:val="24"/>
        </w:rPr>
      </w:pPr>
      <w:r>
        <w:rPr>
          <w:sz w:val="24"/>
        </w:rPr>
        <w:t>Di fatto, oggi, il nesso verità-cultura offre uno degli argomenti più forti al dogma del relativismo pluralista. La determinazione culturale di ogni forma di razionalità e di ogni religione ne implica la parzialità e la necessaria contestualizzazione in un frammento di senso che rimanda a una totalità più complessa. Nessun frammento può pretendere di essere il tutto o di valere per tutti. Di fatto – si dice – lo sforzo missionario cristiano ha significato l’imposizione di una certa forma culturale ad altre culture, anche mediante la violenza. Ciò ha posto il problema della capacità della fede di comunicarsi ad una cultura (inculturazione). L’aspetto problematico di questo tipo di considerazioni sta nel presupposto che le culture vivano le une accanto alle altre in regime di giustapposizione anziché di scambio. E’ una visione astorica e statica:</w:t>
      </w:r>
    </w:p>
    <w:p w:rsidR="001836E7" w:rsidRDefault="001836E7" w:rsidP="001836E7">
      <w:pPr>
        <w:pStyle w:val="Citazione"/>
        <w:rPr>
          <w:sz w:val="22"/>
        </w:rPr>
      </w:pPr>
      <w:r>
        <w:rPr>
          <w:sz w:val="22"/>
        </w:rPr>
        <w:t>Le varie culture non vivono solo la loro propria esperienza di Dio, del mondo e dell’uomo, ma lungo il loro cammino si incontrano inevitabilmente con altri soggetti culturali e si devono confrontare con le altrui differenti esperienze. Così, a seconda dell’apertura o della chiusura, a seconda della larghezza o della ristrettezza di un soggetto culturale, si giunge all’approfondimento e alla purificazione delle proprie conoscenze e valutazioni. Ciò può portare a una trasformazione profonda della forma di cultura vigente. Un’eventuale trasformazione positiva dipende dalla potenziale universalità di tutte le culture, che si concretizza nell’accoglienza di ciò che è altrui e nel cambiamento di ciò che è proprio. Un processo del genere può portare addirittura a far sì che vengano a galla quei taciti allontanamenti dell’uomo dalla verità e da se stesso che si celano in una cultura… Perciò non dovremmo parlare più propriamente di inculturazione ma di incontro delle culture o di interculturalità… Solo se si tengono ferme la potenziale universalità di tutte le culture e la loro reciproca apertura, l’interculturalità può portare a nuove forme feconde</w:t>
      </w:r>
      <w:r w:rsidRPr="005B01A7">
        <w:rPr>
          <w:rStyle w:val="Rimandonotaapidipagina"/>
          <w:sz w:val="20"/>
        </w:rPr>
        <w:footnoteReference w:id="10"/>
      </w:r>
      <w:r>
        <w:rPr>
          <w:sz w:val="22"/>
        </w:rPr>
        <w:t>.</w:t>
      </w:r>
    </w:p>
    <w:p w:rsidR="001836E7" w:rsidRDefault="001836E7" w:rsidP="001836E7">
      <w:pPr>
        <w:pStyle w:val="Corpotesto"/>
        <w:rPr>
          <w:sz w:val="24"/>
        </w:rPr>
      </w:pPr>
      <w:r>
        <w:rPr>
          <w:sz w:val="24"/>
        </w:rPr>
        <w:t xml:space="preserve">In fondo, l’incontro delle culture è possibile perché l’uomo, nonostante tutte le differenze della sua storia e delle sue creazioni comunitarie, è un identico e unico essere. Quest’essere unico che è l’uomo, nella profondità della sua esistenza, viene intercettato dalla verità stessa. Da qui deriva la fondamentale apertura di tutti verso l’altro e si spiegano le essenziali convergenze che esistono anche tra le culture più remote. La diversità che può portare alla chiusura, deriva invece dalla </w:t>
      </w:r>
      <w:r>
        <w:rPr>
          <w:sz w:val="24"/>
        </w:rPr>
        <w:lastRenderedPageBreak/>
        <w:t xml:space="preserve">finitezza dello spirito umano: nessuno abbraccia la totalità; per cogliere la totalità c’è bisogno di tutti. </w:t>
      </w:r>
    </w:p>
    <w:p w:rsidR="001836E7" w:rsidRDefault="001836E7" w:rsidP="001836E7">
      <w:pPr>
        <w:pStyle w:val="Citazione"/>
        <w:rPr>
          <w:sz w:val="22"/>
        </w:rPr>
      </w:pPr>
      <w:r>
        <w:rPr>
          <w:sz w:val="22"/>
        </w:rPr>
        <w:t xml:space="preserve">A un concetto statico di cultura, che ne presuppone forme fisse, che in ultima istanza rimangono costanti e sono solo giustapposte tra loro, né possono trapassare le une nelle altre, il Papa contrappone nella </w:t>
      </w:r>
      <w:r>
        <w:rPr>
          <w:i/>
          <w:iCs/>
          <w:sz w:val="22"/>
        </w:rPr>
        <w:t>Fides et Ratio</w:t>
      </w:r>
      <w:r>
        <w:rPr>
          <w:sz w:val="22"/>
        </w:rPr>
        <w:t xml:space="preserve"> un modo dinamico e comunicativo di intendere la cultura. Egli sottolinea che le culture quando sono «profondamente radicate nell’umano, […] portano in sé la testimonianza della tipica apertura dell’uomo all’universale e alla trascendenza» (n. 70). Perciò le culture, quale espressione dell’unica essenza dell’uomo, sono caratterizzate dalla dinamica dell’uomo, che trascende tutti i limiti. Le culture pertanto non sono fissate una volta per sempre a una struttura, ma hanno la capacità di progredire e di trasformarsi, col pericolo tuttavia anche di decadere. Esse sono impostate per l’incontro e la fecondazione reciproca</w:t>
      </w:r>
      <w:r w:rsidRPr="005B01A7">
        <w:rPr>
          <w:rStyle w:val="Rimandonotaapidipagina"/>
          <w:sz w:val="20"/>
        </w:rPr>
        <w:footnoteReference w:id="11"/>
      </w:r>
      <w:r>
        <w:rPr>
          <w:sz w:val="22"/>
        </w:rPr>
        <w:t>.</w:t>
      </w:r>
    </w:p>
    <w:p w:rsidR="001836E7" w:rsidRDefault="001836E7" w:rsidP="001836E7">
      <w:pPr>
        <w:pStyle w:val="Corpotesto"/>
        <w:rPr>
          <w:sz w:val="24"/>
        </w:rPr>
      </w:pPr>
      <w:r>
        <w:rPr>
          <w:sz w:val="24"/>
        </w:rPr>
        <w:t xml:space="preserve">Alla luce di queste considerazioni si può cogliere il rapporto tra fede e cultura. Il mezzo che porta l’una incontro all’altra non può che essere la comune verità dell’uomo, nella quale è sempre in gioco la verità su Dio e sulla realtà nel suo complesso. Quanto più una cultura è conforme alla natura umana, quanto più è elevata, tanto più aspirerà alla verità che fino a un certo punto le era rimasta preclusa, sarà capace di assimilare tale verità e d’immedesimarsi con essa. Detto questo, occorre subito aggiungere che il cristianesimo è una cultura e </w:t>
      </w:r>
      <w:smartTag w:uri="urn:schemas-microsoft-com:office:smarttags" w:element="PersonName">
        <w:smartTagPr>
          <w:attr w:name="ProductID" w:val="la Chiesa"/>
        </w:smartTagPr>
        <w:r>
          <w:rPr>
            <w:sz w:val="24"/>
          </w:rPr>
          <w:t>la Chiesa</w:t>
        </w:r>
      </w:smartTag>
      <w:r>
        <w:rPr>
          <w:sz w:val="24"/>
        </w:rPr>
        <w:t xml:space="preserve"> un soggetto culturale, con una propria interculturalità sviluppatasi storicamente e stratificatasi (anche se non si tratta di una cultura particolare, essendo </w:t>
      </w:r>
      <w:smartTag w:uri="urn:schemas-microsoft-com:office:smarttags" w:element="PersonName">
        <w:smartTagPr>
          <w:attr w:name="ProductID" w:val="la Chiesa"/>
        </w:smartTagPr>
        <w:r>
          <w:rPr>
            <w:sz w:val="24"/>
          </w:rPr>
          <w:t>la Chiesa</w:t>
        </w:r>
      </w:smartTag>
      <w:r>
        <w:rPr>
          <w:sz w:val="24"/>
        </w:rPr>
        <w:t xml:space="preserve"> un popolo radunato da tanti popoli). Non esiste una fede pura, senza mediazione culturale. Perciò il cristiano può avere una duplice cultura: quella d’origine e quella della fede. Credere significa entrare in un popolo, </w:t>
      </w:r>
      <w:smartTag w:uri="urn:schemas-microsoft-com:office:smarttags" w:element="PersonName">
        <w:smartTagPr>
          <w:attr w:name="ProductID" w:val="la Chiesa"/>
        </w:smartTagPr>
        <w:r>
          <w:rPr>
            <w:sz w:val="24"/>
          </w:rPr>
          <w:t>la Chiesa</w:t>
        </w:r>
      </w:smartTag>
      <w:r>
        <w:rPr>
          <w:sz w:val="24"/>
        </w:rPr>
        <w:t>, con una sua cultura e una sua storia. Dio ha legato se stesso a una storia, che ora è anche la sua e da cui non possiamo staccarci. Ma come stanno insieme le affermazioni che il cristianesimo è una cultura ma non una cultura particolare? E’ possibile comporre le affermazioni se si tiene presente il superamento delle culture nella Bibbia e nella storia della fede:</w:t>
      </w:r>
    </w:p>
    <w:p w:rsidR="001836E7" w:rsidRDefault="001836E7" w:rsidP="001836E7">
      <w:pPr>
        <w:ind w:left="170" w:right="113"/>
        <w:jc w:val="both"/>
        <w:rPr>
          <w:sz w:val="22"/>
        </w:rPr>
      </w:pPr>
    </w:p>
    <w:p w:rsidR="001836E7" w:rsidRDefault="001836E7" w:rsidP="001836E7">
      <w:pPr>
        <w:ind w:left="170" w:right="113"/>
        <w:jc w:val="both"/>
        <w:rPr>
          <w:sz w:val="22"/>
        </w:rPr>
      </w:pPr>
      <w:r w:rsidRPr="00281783">
        <w:rPr>
          <w:sz w:val="22"/>
        </w:rPr>
        <w:t>Tutti i popoli sono invitati ad entrare in questo processo di superamento della particolarità, che ha avuto inizio innanzitutto in Israele, a rivolgersi a quel Dio, cha da parte sua si è oltrepassato in Gesù Cristo e ha infranto il muro dell’inimicizia che era tra noi (</w:t>
      </w:r>
      <w:proofErr w:type="spellStart"/>
      <w:r w:rsidRPr="00281783">
        <w:rPr>
          <w:sz w:val="22"/>
        </w:rPr>
        <w:t>Ef</w:t>
      </w:r>
      <w:proofErr w:type="spellEnd"/>
      <w:r w:rsidRPr="00281783">
        <w:rPr>
          <w:sz w:val="22"/>
        </w:rPr>
        <w:t xml:space="preserve"> 2,14) e ci conduce l’uno verso l’altro nell’espropriazione di sé compiuta sulla croce. La fede in Gesù Cristo è pertanto di sua natura un continuo aprirsi, irruzione </w:t>
      </w:r>
      <w:r w:rsidRPr="00281783">
        <w:rPr>
          <w:i/>
          <w:iCs/>
          <w:sz w:val="22"/>
        </w:rPr>
        <w:t>(</w:t>
      </w:r>
      <w:proofErr w:type="spellStart"/>
      <w:r w:rsidRPr="00281783">
        <w:rPr>
          <w:i/>
          <w:iCs/>
          <w:sz w:val="22"/>
        </w:rPr>
        <w:t>Einbruch</w:t>
      </w:r>
      <w:proofErr w:type="spellEnd"/>
      <w:r w:rsidRPr="00281783">
        <w:rPr>
          <w:i/>
          <w:iCs/>
          <w:sz w:val="22"/>
        </w:rPr>
        <w:t>)</w:t>
      </w:r>
      <w:r w:rsidRPr="00281783">
        <w:rPr>
          <w:sz w:val="22"/>
        </w:rPr>
        <w:t xml:space="preserve"> di Dio nel mondo umano e aprirsi </w:t>
      </w:r>
      <w:r w:rsidRPr="00281783">
        <w:rPr>
          <w:i/>
          <w:iCs/>
          <w:sz w:val="22"/>
        </w:rPr>
        <w:t>(</w:t>
      </w:r>
      <w:proofErr w:type="spellStart"/>
      <w:r w:rsidRPr="00281783">
        <w:rPr>
          <w:i/>
          <w:iCs/>
          <w:sz w:val="22"/>
        </w:rPr>
        <w:t>Aufbruch</w:t>
      </w:r>
      <w:proofErr w:type="spellEnd"/>
      <w:r w:rsidRPr="00281783">
        <w:rPr>
          <w:i/>
          <w:iCs/>
          <w:sz w:val="22"/>
        </w:rPr>
        <w:t>)</w:t>
      </w:r>
      <w:r w:rsidRPr="00281783">
        <w:rPr>
          <w:sz w:val="22"/>
        </w:rPr>
        <w:t xml:space="preserve"> dell’uomo in risposta a Dio, che nello stesso tempo conduce gli uomini gli uni verso gli altri. Tutto quanto ci appartiene ora appartiene a tutti e tutto ciò che è degli altri ora diviene anche nostro. Questo modello fondamentale determina anche l’incontro del messaggio cristiano con la cultura greca… Questo incontro fu possibile perché nel frattempo nel mondo greco si era fatto strada un simile processo di auto</w:t>
      </w:r>
      <w:r w:rsidR="00910CAC">
        <w:rPr>
          <w:sz w:val="22"/>
        </w:rPr>
        <w:t>-</w:t>
      </w:r>
      <w:r w:rsidRPr="00281783">
        <w:rPr>
          <w:sz w:val="22"/>
        </w:rPr>
        <w:t>superamento. I Padri non hanno semplicemente fuso nel Vangelo una cultura greca autonoma e a sé stante. Essi poterono riprendere il dialogo con la filosofia greca e renderla strumento del Vangelo, dal momento che nel mondo greco in virtù della ricerca di Dio si era messa in moto un’autocritica della p</w:t>
      </w:r>
      <w:r w:rsidR="00910CAC">
        <w:rPr>
          <w:sz w:val="22"/>
        </w:rPr>
        <w:t>r</w:t>
      </w:r>
      <w:r w:rsidRPr="00281783">
        <w:rPr>
          <w:sz w:val="22"/>
        </w:rPr>
        <w:t>opria cultura e del proprio pensiero. La fede ha avvicinato i popoli… non alla cultura greca in quanto tale, ma al suo auto</w:t>
      </w:r>
      <w:r w:rsidR="00910CAC">
        <w:rPr>
          <w:sz w:val="22"/>
        </w:rPr>
        <w:t>-s</w:t>
      </w:r>
      <w:r w:rsidRPr="00281783">
        <w:rPr>
          <w:sz w:val="22"/>
        </w:rPr>
        <w:t>uperamento, che fu il vero punto di aggancio per l’interpretazione del messaggio cristiano. A partire da questa auto</w:t>
      </w:r>
      <w:r w:rsidR="00910CAC">
        <w:rPr>
          <w:sz w:val="22"/>
        </w:rPr>
        <w:t>-</w:t>
      </w:r>
      <w:r w:rsidRPr="00281783">
        <w:rPr>
          <w:sz w:val="22"/>
        </w:rPr>
        <w:t>apertura, la fede ha attirato la cultura greca sempre più in una dinamica di auto</w:t>
      </w:r>
      <w:r w:rsidR="00910CAC">
        <w:rPr>
          <w:sz w:val="22"/>
        </w:rPr>
        <w:t>-</w:t>
      </w:r>
      <w:r w:rsidRPr="00281783">
        <w:rPr>
          <w:sz w:val="22"/>
        </w:rPr>
        <w:t>superamento</w:t>
      </w:r>
      <w:r w:rsidRPr="005B01A7">
        <w:rPr>
          <w:rStyle w:val="Rimandonotaapidipagina"/>
          <w:sz w:val="20"/>
          <w:szCs w:val="20"/>
        </w:rPr>
        <w:footnoteReference w:id="12"/>
      </w:r>
      <w:r w:rsidRPr="00281783">
        <w:rPr>
          <w:sz w:val="22"/>
        </w:rPr>
        <w:t>.</w:t>
      </w:r>
    </w:p>
    <w:p w:rsidR="001836E7" w:rsidRPr="00281783" w:rsidRDefault="001836E7" w:rsidP="001836E7">
      <w:pPr>
        <w:ind w:left="170" w:right="113"/>
        <w:jc w:val="both"/>
        <w:rPr>
          <w:sz w:val="22"/>
        </w:rPr>
      </w:pPr>
    </w:p>
    <w:p w:rsidR="001836E7" w:rsidRDefault="001836E7" w:rsidP="001836E7">
      <w:pPr>
        <w:pStyle w:val="Corpotesto"/>
        <w:rPr>
          <w:sz w:val="24"/>
        </w:rPr>
      </w:pPr>
      <w:r>
        <w:rPr>
          <w:sz w:val="24"/>
        </w:rPr>
        <w:t>In un altro contesto e con toni ancora più forti Ratzinger annotava:</w:t>
      </w:r>
    </w:p>
    <w:p w:rsidR="001836E7" w:rsidRDefault="001836E7" w:rsidP="001836E7">
      <w:pPr>
        <w:ind w:left="170" w:right="113"/>
        <w:jc w:val="both"/>
        <w:rPr>
          <w:sz w:val="22"/>
        </w:rPr>
      </w:pPr>
    </w:p>
    <w:p w:rsidR="001836E7" w:rsidRPr="00281783" w:rsidRDefault="001836E7" w:rsidP="001836E7">
      <w:pPr>
        <w:ind w:left="170" w:right="113"/>
        <w:jc w:val="both"/>
        <w:rPr>
          <w:sz w:val="22"/>
        </w:rPr>
      </w:pPr>
      <w:r w:rsidRPr="00281783">
        <w:rPr>
          <w:sz w:val="22"/>
        </w:rPr>
        <w:t>L’esodo, la frattura culturale, col suo morire per rinascere, è un tratto fondamentale del cristianesimo. La sua storia ha inizio con Abram, con l’imperativo che viene da Dio «Vattene dal tuo paese, dalla tua patria e dalla casa di tuo padre» (</w:t>
      </w:r>
      <w:proofErr w:type="spellStart"/>
      <w:r w:rsidRPr="00281783">
        <w:rPr>
          <w:sz w:val="22"/>
        </w:rPr>
        <w:t>Gen</w:t>
      </w:r>
      <w:proofErr w:type="spellEnd"/>
      <w:r w:rsidRPr="00281783">
        <w:rPr>
          <w:sz w:val="22"/>
        </w:rPr>
        <w:t xml:space="preserve"> 12,1). L’esodo di Israele, il vero e proprio evento </w:t>
      </w:r>
      <w:proofErr w:type="spellStart"/>
      <w:r w:rsidRPr="00281783">
        <w:rPr>
          <w:sz w:val="22"/>
        </w:rPr>
        <w:t>fondativo</w:t>
      </w:r>
      <w:proofErr w:type="spellEnd"/>
      <w:r w:rsidRPr="00281783">
        <w:rPr>
          <w:sz w:val="22"/>
        </w:rPr>
        <w:t xml:space="preserve"> del popolo di Israele, è anticipato nell’esodo di Abram, che come tale è stato anche una frattura culturale. Nella linea della fede di Abram, anche della fede cristiana possiamo dire che nessuno se la trova davanti come cosa già sua. Non viene mai da quel che è nostro proprio. Irrompe dal di fuori. Nessuno nasce cristiano, </w:t>
      </w:r>
      <w:r w:rsidRPr="00281783">
        <w:rPr>
          <w:sz w:val="22"/>
        </w:rPr>
        <w:lastRenderedPageBreak/>
        <w:t>nemmeno in un mondo cristiano e da genitori cristiani. Il cristianesimo può avvenire sempre e solo come nuova nascita… Nell’idea di rivelazione il non-proprio, ciò che non appartiene alla sfera mia propria, mi si avvicina e mi porta via da me, al di là di me, crea qualcosa di nuovo. Questo è ciò che determina la storicità della realtà cristiana, che poggia su eventi e non sulla percezione della profondità del proprio intimo</w:t>
      </w:r>
      <w:r>
        <w:rPr>
          <w:sz w:val="22"/>
        </w:rPr>
        <w:t>…</w:t>
      </w:r>
      <w:r w:rsidRPr="00281783">
        <w:rPr>
          <w:sz w:val="22"/>
        </w:rPr>
        <w:t xml:space="preserve"> </w:t>
      </w:r>
      <w:r>
        <w:rPr>
          <w:sz w:val="22"/>
        </w:rPr>
        <w:t>Questo arrivare dal di fu</w:t>
      </w:r>
      <w:r w:rsidRPr="00281783">
        <w:rPr>
          <w:sz w:val="22"/>
        </w:rPr>
        <w:t>o</w:t>
      </w:r>
      <w:r>
        <w:rPr>
          <w:sz w:val="22"/>
        </w:rPr>
        <w:t>r</w:t>
      </w:r>
      <w:r w:rsidRPr="00281783">
        <w:rPr>
          <w:sz w:val="22"/>
        </w:rPr>
        <w:t>i è scandaloso per l’uomo, che tende all’autarchia e all’autonomia, è una pretesa eccessiva per qualunque cultura… Ma proprio questo nuovo intervento, che fa breccia nel nostro spazio esperienziale, nella nostra coscienza… ci porta entro uno spazio più grande, e proprio così ci apre la possibilità di superare il pluralismo e di accostarci gli uni agli altri</w:t>
      </w:r>
      <w:r w:rsidRPr="005B01A7">
        <w:rPr>
          <w:rStyle w:val="Rimandonotaapidipagina"/>
          <w:sz w:val="20"/>
          <w:szCs w:val="20"/>
        </w:rPr>
        <w:footnoteReference w:id="13"/>
      </w:r>
      <w:r w:rsidRPr="00281783">
        <w:rPr>
          <w:sz w:val="22"/>
        </w:rPr>
        <w:t>.</w:t>
      </w:r>
    </w:p>
    <w:p w:rsidR="001836E7" w:rsidRDefault="001836E7" w:rsidP="001836E7">
      <w:pPr>
        <w:jc w:val="both"/>
      </w:pPr>
    </w:p>
    <w:p w:rsidR="001836E7" w:rsidRDefault="001836E7" w:rsidP="001836E7">
      <w:pPr>
        <w:jc w:val="both"/>
      </w:pPr>
      <w:r>
        <w:t>Le culture dunque incontrano la rivelazione proprio nella loro dinamica “</w:t>
      </w:r>
      <w:proofErr w:type="spellStart"/>
      <w:r>
        <w:t>esodica</w:t>
      </w:r>
      <w:proofErr w:type="spellEnd"/>
      <w:r>
        <w:t>”, ossia nella loro tensione a uscire dal particolare verso la verità universale, in cui l’uomo stesso riconosce e realizza la sua apertura al tutto e al trascendente. Ciò è verificabile già nella Scrittura.</w:t>
      </w:r>
    </w:p>
    <w:p w:rsidR="001836E7" w:rsidRDefault="001836E7" w:rsidP="001836E7">
      <w:pPr>
        <w:jc w:val="both"/>
      </w:pPr>
    </w:p>
    <w:p w:rsidR="001836E7" w:rsidRPr="00E158DA" w:rsidRDefault="001836E7" w:rsidP="001836E7">
      <w:pPr>
        <w:jc w:val="center"/>
        <w:rPr>
          <w:i/>
        </w:rPr>
      </w:pPr>
      <w:r>
        <w:t xml:space="preserve">3. </w:t>
      </w:r>
      <w:r w:rsidRPr="00E158DA">
        <w:rPr>
          <w:i/>
        </w:rPr>
        <w:t>L’istanza dell’esperienza al di là dell’alternativa tra fondamentalismo e relativismo</w:t>
      </w:r>
    </w:p>
    <w:p w:rsidR="001836E7" w:rsidRDefault="001836E7" w:rsidP="001836E7">
      <w:pPr>
        <w:jc w:val="both"/>
      </w:pPr>
    </w:p>
    <w:p w:rsidR="001836E7" w:rsidRDefault="001836E7" w:rsidP="001836E7">
      <w:pPr>
        <w:jc w:val="both"/>
      </w:pPr>
      <w:r>
        <w:t xml:space="preserve">3.1. </w:t>
      </w:r>
      <w:r w:rsidRPr="00440605">
        <w:rPr>
          <w:i/>
        </w:rPr>
        <w:t>Tre dimensioni della «pressione ambientale pluralista»</w:t>
      </w:r>
      <w:r>
        <w:t>. R</w:t>
      </w:r>
      <w:r w:rsidR="001F5D4A">
        <w:t>ileggiamo le tensione emerse dalla scoperta della storicità delle religioni</w:t>
      </w:r>
      <w:r>
        <w:t xml:space="preserve"> alla luce </w:t>
      </w:r>
      <w:r w:rsidR="001F5D4A">
        <w:t xml:space="preserve">della questione </w:t>
      </w:r>
      <w:r>
        <w:t>dell’«esperienza».</w:t>
      </w:r>
    </w:p>
    <w:p w:rsidR="001836E7" w:rsidRDefault="001836E7" w:rsidP="001836E7">
      <w:pPr>
        <w:jc w:val="both"/>
      </w:pPr>
    </w:p>
    <w:p w:rsidR="001836E7" w:rsidRDefault="001836E7" w:rsidP="001836E7">
      <w:pPr>
        <w:jc w:val="both"/>
      </w:pPr>
      <w:r w:rsidRPr="00E04868">
        <w:rPr>
          <w:i/>
        </w:rPr>
        <w:t>(a) La scoperta della storicità dei rapporti tra religioni.</w:t>
      </w:r>
      <w:r>
        <w:t xml:space="preserve"> Tale scoperta ha a che fare con la messa in evidenza della dimensione storica del «cristianesimo». Non si tratta di una grandezza assoluta al di fuori della storia e quindi di un possibile giudizio trascendente su altre esperienze storiche, bensì di una grandezza immersa nel flusso della storia. L’applicazione al cristianesimo degli strumenti dell’indagine critica (i metodi storico-critici ed esegetici; l’analisi psicologica e sociologica) aveva già messo in luce un nuovo possibile approccio al fatto cristiano: si poteva seguire tale sentiero? A quali esiti avrebbe portato? La questione si presentò da subito come problema «del fondamento»: è possibile cogliere il fondamento del cristianesimo e quindi della fede nell’ambito di una sua riduzione a fenomeno storico-sociale tra altri? Il recupero della sua immersione nei fenomeni storici non ne smarrisce l’assolutezza di evento di rivelazione? La fede non attinge il suo fondamento al di là della storia o alla fine della storia o come compimento (ideale) della storia e quindi come realizzazione dell’essenza nella storia o al di là di essa?</w:t>
      </w:r>
    </w:p>
    <w:p w:rsidR="001836E7" w:rsidRPr="006E7327" w:rsidRDefault="001836E7" w:rsidP="001836E7">
      <w:pPr>
        <w:ind w:left="170" w:right="113"/>
        <w:jc w:val="both"/>
        <w:rPr>
          <w:sz w:val="22"/>
        </w:rPr>
      </w:pPr>
    </w:p>
    <w:p w:rsidR="001836E7" w:rsidRDefault="001836E7" w:rsidP="001836E7">
      <w:pPr>
        <w:ind w:left="170" w:right="113"/>
        <w:jc w:val="both"/>
        <w:rPr>
          <w:sz w:val="22"/>
        </w:rPr>
      </w:pPr>
      <w:r w:rsidRPr="006E7327">
        <w:rPr>
          <w:sz w:val="22"/>
        </w:rPr>
        <w:t xml:space="preserve">In area protestante è questa la scoperta della teologia liberale e della sua ripresa dell’idealismo: il cristianesimo va considerato come fenomeno storico, immerso nel processo storico al modo del suo compimento finale e quindi come la religione perfetta o svelata o compiuta. La crisi di questo pensiero </w:t>
      </w:r>
      <w:r>
        <w:rPr>
          <w:sz w:val="22"/>
        </w:rPr>
        <w:t xml:space="preserve">è segnalata da </w:t>
      </w:r>
      <w:r w:rsidRPr="006E7327">
        <w:rPr>
          <w:sz w:val="22"/>
        </w:rPr>
        <w:t xml:space="preserve">E. </w:t>
      </w:r>
      <w:proofErr w:type="spellStart"/>
      <w:r w:rsidRPr="006E7327">
        <w:rPr>
          <w:sz w:val="22"/>
        </w:rPr>
        <w:t>Troeltsch</w:t>
      </w:r>
      <w:proofErr w:type="spellEnd"/>
      <w:r w:rsidRPr="006E7327">
        <w:rPr>
          <w:sz w:val="22"/>
        </w:rPr>
        <w:t xml:space="preserve"> (1865-1923), che contesta sia il soprannaturalismo dogmatico di certa teologia della rivelazione, che immunizza il cristianesimo da qualunque critica in nome di un’origine trascendente e divina, che andrebbe composta con la sua realizzazione in diverse forme storiche (segnate da mutamenti, trasformazioni, errori), che dell’idealismo, il quale cerca nel cristianesimo il vertice del processo storico e quindi la religione perfetta a posteriori, ma non riesce a cogliere la storicità del suo giudizio che pure è immerso in tale processo. </w:t>
      </w:r>
    </w:p>
    <w:p w:rsidR="001836E7" w:rsidRPr="006E7327" w:rsidRDefault="001836E7" w:rsidP="001836E7">
      <w:pPr>
        <w:ind w:left="170" w:right="113"/>
        <w:jc w:val="both"/>
        <w:rPr>
          <w:sz w:val="22"/>
        </w:rPr>
      </w:pPr>
      <w:r>
        <w:rPr>
          <w:sz w:val="22"/>
        </w:rPr>
        <w:t>In ambito cattolico un</w:t>
      </w:r>
      <w:r w:rsidRPr="006E7327">
        <w:rPr>
          <w:sz w:val="22"/>
        </w:rPr>
        <w:t>’analoga crisi si ha nell’episodio modernista (1891-1910)</w:t>
      </w:r>
      <w:r>
        <w:rPr>
          <w:sz w:val="22"/>
        </w:rPr>
        <w:t>, inteso come crisi culturale del</w:t>
      </w:r>
      <w:r w:rsidRPr="006E7327">
        <w:rPr>
          <w:sz w:val="22"/>
        </w:rPr>
        <w:t xml:space="preserve"> «senso delle verità di fede», a cui </w:t>
      </w:r>
      <w:smartTag w:uri="urn:schemas-microsoft-com:office:smarttags" w:element="PersonName">
        <w:smartTagPr>
          <w:attr w:name="ProductID" w:val="la Chiesa"/>
        </w:smartTagPr>
        <w:r w:rsidRPr="006E7327">
          <w:rPr>
            <w:sz w:val="22"/>
          </w:rPr>
          <w:t>la Chiesa</w:t>
        </w:r>
      </w:smartTag>
      <w:r w:rsidRPr="006E7327">
        <w:rPr>
          <w:sz w:val="22"/>
        </w:rPr>
        <w:t xml:space="preserve"> offre nel suo Magistero una risposta dottrinale e quindi dogmatica, che fallisce il bersaglio. Il problema non stava nella concettualizzazione ortodossa delle verità di fede, cadute dal cielo per rivelazione e custodite nel giudizio di fede conforme alle indicazioni della Chiesa. La questione riguardava il senso per l’uomo moderno di certe verità d fede che erano divenute mute e problematiche sia per la coscienza storica che per le forme di vita dell’epoca. Si trattava di attingere in quelle verità di fede un significato che permettesse all’uomo moderno di lasciarsi raggiungere </w:t>
      </w:r>
      <w:r>
        <w:rPr>
          <w:sz w:val="22"/>
        </w:rPr>
        <w:t>d</w:t>
      </w:r>
      <w:r w:rsidRPr="006E7327">
        <w:rPr>
          <w:sz w:val="22"/>
        </w:rPr>
        <w:t xml:space="preserve">al principio di </w:t>
      </w:r>
      <w:r>
        <w:rPr>
          <w:sz w:val="22"/>
        </w:rPr>
        <w:t>verità e salvezza incondizionate</w:t>
      </w:r>
      <w:r w:rsidRPr="006E7327">
        <w:rPr>
          <w:sz w:val="22"/>
        </w:rPr>
        <w:t xml:space="preserve"> che in esse si manifesta, pur trascendendole. </w:t>
      </w:r>
    </w:p>
    <w:p w:rsidR="001836E7" w:rsidRPr="006E7327" w:rsidRDefault="001836E7" w:rsidP="001836E7">
      <w:pPr>
        <w:ind w:left="170" w:right="113"/>
        <w:jc w:val="both"/>
        <w:rPr>
          <w:sz w:val="22"/>
        </w:rPr>
      </w:pPr>
    </w:p>
    <w:p w:rsidR="001836E7" w:rsidRDefault="001836E7" w:rsidP="001836E7">
      <w:pPr>
        <w:jc w:val="both"/>
      </w:pPr>
      <w:r>
        <w:t xml:space="preserve">Si apre qui la questione, tipica della filosofia della storia, di comporre relatività storica dei fenomeni umani con la pretesa di assolutezza della verità. Che rapporto esiste tra fatti storici e giudizio veritativo? Questo giudizio non è a sua volta storico e contingente? Oppure è assoluto? Ma per </w:t>
      </w:r>
      <w:r>
        <w:lastRenderedPageBreak/>
        <w:t xml:space="preserve">essere tale deve funzionare a priori in base a un principio di rivelazione trascendente o può essere immerso nella storia come scoperta del processuale costituirsi della verità? </w:t>
      </w:r>
    </w:p>
    <w:p w:rsidR="001836E7" w:rsidRPr="006E7327" w:rsidRDefault="001836E7" w:rsidP="001836E7">
      <w:pPr>
        <w:ind w:left="170" w:right="113"/>
        <w:jc w:val="both"/>
        <w:rPr>
          <w:sz w:val="22"/>
        </w:rPr>
      </w:pPr>
    </w:p>
    <w:p w:rsidR="001836E7" w:rsidRPr="006E7327" w:rsidRDefault="001836E7" w:rsidP="001836E7">
      <w:pPr>
        <w:ind w:left="170" w:right="113"/>
        <w:jc w:val="both"/>
        <w:rPr>
          <w:sz w:val="22"/>
        </w:rPr>
      </w:pPr>
      <w:r w:rsidRPr="006E7327">
        <w:rPr>
          <w:sz w:val="22"/>
        </w:rPr>
        <w:t xml:space="preserve">È il problema del confronto tra E. </w:t>
      </w:r>
      <w:proofErr w:type="spellStart"/>
      <w:r w:rsidRPr="006E7327">
        <w:rPr>
          <w:sz w:val="22"/>
        </w:rPr>
        <w:t>Troeltsch</w:t>
      </w:r>
      <w:proofErr w:type="spellEnd"/>
      <w:r w:rsidRPr="006E7327">
        <w:rPr>
          <w:sz w:val="22"/>
        </w:rPr>
        <w:t xml:space="preserve"> e P. </w:t>
      </w:r>
      <w:proofErr w:type="spellStart"/>
      <w:r w:rsidRPr="006E7327">
        <w:rPr>
          <w:sz w:val="22"/>
        </w:rPr>
        <w:t>Tilllich</w:t>
      </w:r>
      <w:proofErr w:type="spellEnd"/>
      <w:r w:rsidRPr="006E7327">
        <w:rPr>
          <w:sz w:val="22"/>
        </w:rPr>
        <w:t xml:space="preserve"> (1886-1965): devo contestare l’assolutezza del cristianesimo in nome della scoperta della storicità del suo darsi come fenomeno umano ovvero devo fare una critica dell’assolutezza della sua forma storica in nome dell’incondizionato (lo </w:t>
      </w:r>
      <w:r>
        <w:rPr>
          <w:sz w:val="22"/>
        </w:rPr>
        <w:t>«</w:t>
      </w:r>
      <w:r w:rsidRPr="006E7327">
        <w:rPr>
          <w:sz w:val="22"/>
        </w:rPr>
        <w:t xml:space="preserve">ultimate </w:t>
      </w:r>
      <w:proofErr w:type="spellStart"/>
      <w:r w:rsidRPr="006E7327">
        <w:rPr>
          <w:sz w:val="22"/>
        </w:rPr>
        <w:t>concern</w:t>
      </w:r>
      <w:proofErr w:type="spellEnd"/>
      <w:r>
        <w:rPr>
          <w:sz w:val="22"/>
        </w:rPr>
        <w:t>»</w:t>
      </w:r>
      <w:r w:rsidRPr="006E7327">
        <w:rPr>
          <w:sz w:val="22"/>
        </w:rPr>
        <w:t>) che in esso si realizza, pur trascendendolo? L’istanza della teologia dialettica si inscrive in questa seconda possibilità: devo contestare il cristianesimo come religione per ascoltare nel «no» di Dio all’uomo il «sì» della sua grazia. Tale giudizio che mette in contatto con l’</w:t>
      </w:r>
      <w:proofErr w:type="spellStart"/>
      <w:r w:rsidRPr="006E7327">
        <w:rPr>
          <w:sz w:val="22"/>
        </w:rPr>
        <w:t>incondizionatezza</w:t>
      </w:r>
      <w:proofErr w:type="spellEnd"/>
      <w:r w:rsidRPr="006E7327">
        <w:rPr>
          <w:sz w:val="22"/>
        </w:rPr>
        <w:t xml:space="preserve"> di Dio non può che avere una forma paradossale. Ma </w:t>
      </w:r>
      <w:r>
        <w:rPr>
          <w:sz w:val="22"/>
        </w:rPr>
        <w:t>qui ritorna</w:t>
      </w:r>
      <w:r w:rsidRPr="006E7327">
        <w:rPr>
          <w:sz w:val="22"/>
        </w:rPr>
        <w:t xml:space="preserve"> il problema: questo giudizio paradossale che permette di cogliere nella forma storica la realtà incondizionata è a sua volta storico o è un</w:t>
      </w:r>
      <w:r>
        <w:rPr>
          <w:sz w:val="22"/>
        </w:rPr>
        <w:t>a</w:t>
      </w:r>
      <w:r w:rsidRPr="006E7327">
        <w:rPr>
          <w:sz w:val="22"/>
        </w:rPr>
        <w:t xml:space="preserve"> realtà al di là della storia</w:t>
      </w:r>
      <w:r>
        <w:rPr>
          <w:sz w:val="22"/>
        </w:rPr>
        <w:t xml:space="preserve"> (assoluta)</w:t>
      </w:r>
      <w:r w:rsidRPr="006E7327">
        <w:rPr>
          <w:sz w:val="22"/>
        </w:rPr>
        <w:t xml:space="preserve">? L’intuizione della teologia dialettica è precisamente che tale realtà non è a sua volta cosificabile in una forma storica contingente e quindi non è oggettivabile. </w:t>
      </w:r>
      <w:r w:rsidRPr="00A56F13">
        <w:rPr>
          <w:sz w:val="22"/>
        </w:rPr>
        <w:t>È</w:t>
      </w:r>
      <w:r>
        <w:rPr>
          <w:sz w:val="22"/>
        </w:rPr>
        <w:t xml:space="preserve"> il miracolo della fede. Ma come questa fede si realizza in una determinata cultura? Oppure tale fede assolutezza una certa forma culturale in cui si realizza, portandola al di là dei condizionamenti storici?</w:t>
      </w:r>
    </w:p>
    <w:p w:rsidR="001836E7" w:rsidRPr="006E7327" w:rsidRDefault="001836E7" w:rsidP="001836E7">
      <w:pPr>
        <w:ind w:left="170" w:right="113"/>
        <w:jc w:val="both"/>
        <w:rPr>
          <w:sz w:val="22"/>
        </w:rPr>
      </w:pPr>
    </w:p>
    <w:p w:rsidR="001836E7" w:rsidRDefault="001836E7" w:rsidP="001836E7">
      <w:pPr>
        <w:jc w:val="both"/>
      </w:pPr>
      <w:r>
        <w:t>La domanda che sorge a tale livello è proprio se e in che misura si debba stare nell’alternativa: la percezione dell’incondizionato non ha la forma di una «terza grandezza» (come la luce platonica o l’idea del Bene) tra i fatti storici e il giudizio veritativo, una grandezza da pensare a sua volta in modo trascendentale (e quindi non come una terza cosa o realtà), cioè come la condizione di possibilità della corrispondenza delle prime due e quindi come il fondamento che in esse si dà e che le porta? L’incondizionato si dà come la condizione di possibilità della corrispondenza tra verità e storia nella risposta (sempre storica) dell’uomo. Ma è proprio «in questa risposta» che si coglie una verità più grande che la fonda, permettendo nella corrispondenza di costruire l’oggettività del giudizio pur nella contingenza del suo accadere.</w:t>
      </w:r>
    </w:p>
    <w:p w:rsidR="001836E7" w:rsidRDefault="001836E7" w:rsidP="001836E7">
      <w:pPr>
        <w:jc w:val="both"/>
      </w:pPr>
    </w:p>
    <w:p w:rsidR="001836E7" w:rsidRDefault="001836E7" w:rsidP="001836E7">
      <w:pPr>
        <w:jc w:val="both"/>
      </w:pPr>
      <w:r w:rsidRPr="00E04868">
        <w:rPr>
          <w:i/>
        </w:rPr>
        <w:t xml:space="preserve">(b) Il </w:t>
      </w:r>
      <w:r>
        <w:rPr>
          <w:i/>
        </w:rPr>
        <w:t xml:space="preserve">rischio del </w:t>
      </w:r>
      <w:r w:rsidRPr="00E04868">
        <w:rPr>
          <w:i/>
        </w:rPr>
        <w:t>fondamentalismo</w:t>
      </w:r>
      <w:r>
        <w:t>. Si è visto come la risposta alla scoperta della storicità sia quella del fondamentalismo, ossia di un meccanismo di organizzazione religiosa che di fronte alla relativizzazione moderna riafferma l’assolutezza del fondamento contro ogni riduzione a fenomeno storico delle verità di fede, immunizzando così una forma storica della religione da qualunque critica e collocandola in un al di là ideale, che giudica tutto senza essere giudicata da nessuno. Si intuisce il sospetto di violenza da parte della cultura moderna: un frammento della storia pretende di essere il tutto e l’assoluto. La forma storica pretende l’</w:t>
      </w:r>
      <w:proofErr w:type="spellStart"/>
      <w:r>
        <w:t>incondizionatezza</w:t>
      </w:r>
      <w:proofErr w:type="spellEnd"/>
      <w:r>
        <w:t>. Si comprende anche che il fondamentalismo non costituisce una deriva propria della religione, ma un possibile esito (sbagliato) del rapporto tra religione e cultura moderna. Si tratta dell’esito problematico di uno scontro che ha posto le seguenti domande: come la religione entra nel dibattito pubblico? Fino a che punto può accettare la relativizzazione delle sue certezze religiose e dei suoi valori e ideali? Con quale tipo di argomentazione entra nel dibattito pubblico?</w:t>
      </w:r>
    </w:p>
    <w:p w:rsidR="001836E7" w:rsidRDefault="001836E7" w:rsidP="001836E7">
      <w:pPr>
        <w:jc w:val="both"/>
      </w:pPr>
      <w:r>
        <w:t xml:space="preserve">Visto in questa prospettiva il fondamentalismo si presenta come una deriva della risposta dell’uomo all’appello della verità o alla rivelazione di Dio: in determinate situazioni storiche il soggetto religioso risponde assolutizzando la sua risposta come dato inderogabile e indiscutibile, in cui si identificano l’oggettività costruita dalla risposta dell’uomo all’esigenza di verità e la verità stessa che interpella e reclama la risposta del soggetto. Si perde la distinzione tra la verità e il nostro sapere riguardo ad essa. La forma storica della verità rivelata, cioè la risposta dell’uomo all’esigenza di verità, è relativa alla verità stessa e non assoluta. Occorre mantenere la trascendenza della verità nella risposta data alla sua esigenza. Proprio nella concettualizzazione si accede alla percezione del miracolo dell’essere, eppure questa concettualizzazione non è l’originario, ma il luogo della sua manifestazione e realizzazione. Non si devono confondere i due livelli, anche se da un lato resta il problema di quale metodo usare per mantenere la distinzione e riattivarla (ci vuole una relativizzazione storica alla </w:t>
      </w:r>
      <w:proofErr w:type="spellStart"/>
      <w:r>
        <w:t>Troeltsch</w:t>
      </w:r>
      <w:proofErr w:type="spellEnd"/>
      <w:r>
        <w:t xml:space="preserve"> o un paradosso </w:t>
      </w:r>
      <w:r w:rsidR="001F5D4A">
        <w:t xml:space="preserve">dialettico alla </w:t>
      </w:r>
      <w:proofErr w:type="spellStart"/>
      <w:r w:rsidR="001F5D4A">
        <w:t>Barth-Gogarten</w:t>
      </w:r>
      <w:proofErr w:type="spellEnd"/>
      <w:r>
        <w:t xml:space="preserve">?) e dall’altro va mantenuto chiaro che la percezione della trascendenza della verità che interpella si dà </w:t>
      </w:r>
      <w:r>
        <w:lastRenderedPageBreak/>
        <w:t xml:space="preserve">sempre e solo all’interno di una risposta e non nella fuga da essa. Ciò implicherebbe il non fare più esperienza. </w:t>
      </w:r>
    </w:p>
    <w:p w:rsidR="001836E7" w:rsidRDefault="001836E7" w:rsidP="001836E7">
      <w:pPr>
        <w:jc w:val="both"/>
      </w:pPr>
      <w:r>
        <w:t>Anche qui il fondamento della conoscenza non è co</w:t>
      </w:r>
      <w:r w:rsidR="00910CAC">
        <w:t>lto</w:t>
      </w:r>
      <w:r>
        <w:t xml:space="preserve"> al modo di una cosa, di una terza realtà disponibile tra il soggetto conoscente e l’oggetto conosciuto come realtà rappresentata. Si dà invece come esigenza di una verità sempre più grande, percepita proprio nello sforzo di rispondere all’appello che viene dalla realtà, mediante la costruzione dell’oggetto conosciuto in un giudizio coerente e oggettivo. L’irrigidimento della risposta in una forma assoluta in sé e per sé valida, che non sente nella stessa risposta l’appello di una «</w:t>
      </w:r>
      <w:proofErr w:type="spellStart"/>
      <w:r>
        <w:t>veritas</w:t>
      </w:r>
      <w:proofErr w:type="spellEnd"/>
      <w:r>
        <w:t xml:space="preserve"> sempre </w:t>
      </w:r>
      <w:proofErr w:type="spellStart"/>
      <w:r>
        <w:t>maior</w:t>
      </w:r>
      <w:proofErr w:type="spellEnd"/>
      <w:r>
        <w:t>» è precisamente la malattia del fondamentalismo. Tale condizione patologica emerge proprio nella sua incapacità di fare esperienza: funziona al modo di un’ideologia che non permette al soggetto rilasciarsi mettere in crisi dall’esperienza storica e contingente, ma lo immunizza, permettendogli di ritrovare nelle cose che vive sempre la stessa cosa, le medesime certezze, gli stessi schemi.</w:t>
      </w:r>
    </w:p>
    <w:p w:rsidR="001836E7" w:rsidRDefault="001836E7" w:rsidP="001836E7">
      <w:pPr>
        <w:jc w:val="both"/>
      </w:pPr>
    </w:p>
    <w:p w:rsidR="001836E7" w:rsidRDefault="001836E7" w:rsidP="001836E7">
      <w:pPr>
        <w:jc w:val="both"/>
      </w:pPr>
      <w:r w:rsidRPr="00E00EF1">
        <w:rPr>
          <w:i/>
        </w:rPr>
        <w:t>(c) L’equivoco del relativismo</w:t>
      </w:r>
      <w:r>
        <w:rPr>
          <w:i/>
        </w:rPr>
        <w:t>: l’istanza del soggetto e la domanda sulle condizioni dell’esperienza</w:t>
      </w:r>
      <w:r>
        <w:t xml:space="preserve">. A questo punto si può cogliere in tutta la sua portata l’equivocità del relativismo pluralista, che passa troppo in fretta dalla contingenza delle risposte date alla verità nella storia e quindi dai modi dell’esperienza, all’impossibilità di costruire un comune contesto di esperienza. Esiste un contesto di esperienza capace di durare rinnovandosi e quindi offrendo un sistema di riferimento per valutare e dare un senso a ciò che è nuovo, proprio mediante l’inserimento del nuovo nell’unità di un mondo di esperienza e nella continuità di un «io» che fa esperienza proprio a partire da un’identità (unità e continuità) coerente? Solo se esiste un simile contesto è possibile valutare in modo coerente i dati della storia giungendo a «fare esperienza» sensata della realtà. L’esito del pluralismo relativista post-moderno è invece una dispersione ingovernabile di esperienze e giochi linguistici in cui vengono a espressione i diversi modi di esperire, senza possibilità di stabilire corrispondenze o interferenze. </w:t>
      </w:r>
    </w:p>
    <w:p w:rsidR="001836E7" w:rsidRDefault="001836E7" w:rsidP="001836E7">
      <w:pPr>
        <w:ind w:left="170" w:right="113"/>
        <w:jc w:val="both"/>
        <w:rPr>
          <w:sz w:val="22"/>
        </w:rPr>
      </w:pPr>
    </w:p>
    <w:p w:rsidR="001836E7" w:rsidRDefault="001836E7" w:rsidP="001836E7">
      <w:pPr>
        <w:ind w:left="170" w:right="113"/>
        <w:jc w:val="both"/>
        <w:rPr>
          <w:sz w:val="22"/>
        </w:rPr>
      </w:pPr>
      <w:r w:rsidRPr="003E79A8">
        <w:rPr>
          <w:sz w:val="22"/>
        </w:rPr>
        <w:t>Quanto all’interferenza, che è problema precipuo delle nostre società complesse, basti un esempio. Il modo in cui un soggetto percepisce la sua malattia è differente dal modo in cui il suo medico gliela descrive. Eppure il malato da un lato avverte che il modo di pensare la malattia del dottore è più coerente ed efficace del suo, mentre d’altro lato percepisce una certa irriducibilità del suo modo di sperimentare la malattia «come sua». Non si tratta semplicemente di due interpretazioni diverse, ma di due modi di fare esperienza. La differenza si approfondisce se i soggetti appartengono a culture o religioni diverse. Non si può dire quale dei due sia «più giusto», dal momento che si tratta di due logiche differenti. Se si estende l’esempio ai mali sociali o ai conflitti tra popoli, si può intuire l’interferenza di logiche e modi di sperimentare le cose che appaiono talvolta irriducibili. Ciò crea un certo scontro tra prospettive differenti, che offrono soluzioni diverse e sembrano portare all’impossibilità di trovare un consenso</w:t>
      </w:r>
      <w:r w:rsidRPr="003E79A8">
        <w:rPr>
          <w:rStyle w:val="Rimandonotaapidipagina"/>
          <w:sz w:val="22"/>
        </w:rPr>
        <w:footnoteReference w:id="14"/>
      </w:r>
      <w:r>
        <w:rPr>
          <w:sz w:val="22"/>
        </w:rPr>
        <w:t>. Ognuno ha un</w:t>
      </w:r>
      <w:r w:rsidRPr="003E79A8">
        <w:rPr>
          <w:sz w:val="22"/>
        </w:rPr>
        <w:t xml:space="preserve"> suo sistema di valori di riferimento e quindi una sua percezione delle cose. Eppure, quando un soggetto riesce a costruire un vero contesto di esperienza, si mantiene aperto a un’esigenza di verità «sempre più grande», che lo rende disponibile al confronto con altre prospettive. E’ proprio nel rimando a questa verità «sempre più grande» che ci reclama, che l’uomo trova l’apertura ad altre prospettive, al di là delle differenze irriducibili. Del resto lo stesso fenomeno dell’interferenza mostra che non esiste una vera incomunicabilità. Il soggetto può attraversare vari modi di fare esperienza, cogliendone le diverse logiche. L’unità dell’esperienza, pur nell’irriducibilità dei modi e delle prospettive, si presenta come un compito e un’esigenza a cui corrispondere. Tale compito sarà percepito in maniera tanto più forte, quanto maggiore è la speranza di poter giungere a un’esperienza della realtà totale. Chi coltiva il suo proprio orticello con desideri di basso profilo, si rassegnerà invece alla sopportazione di frammenti incomunicabili.</w:t>
      </w:r>
    </w:p>
    <w:p w:rsidR="001836E7" w:rsidRPr="003E79A8" w:rsidRDefault="001836E7" w:rsidP="001836E7">
      <w:pPr>
        <w:ind w:left="170" w:right="113"/>
        <w:jc w:val="both"/>
        <w:rPr>
          <w:sz w:val="22"/>
        </w:rPr>
      </w:pPr>
    </w:p>
    <w:p w:rsidR="001836E7" w:rsidRDefault="00F12492" w:rsidP="001836E7">
      <w:pPr>
        <w:jc w:val="both"/>
      </w:pPr>
      <w:r>
        <w:lastRenderedPageBreak/>
        <w:t>La relativizzazione</w:t>
      </w:r>
      <w:r w:rsidR="001836E7">
        <w:t xml:space="preserve"> dei contesti di esperienza nega l’esistenza di una verità comune che valga per tutti, pur tra tanti modi dell’esperienza. Si giunge così a una sorta di «</w:t>
      </w:r>
      <w:proofErr w:type="spellStart"/>
      <w:r w:rsidR="001836E7">
        <w:t>eteromorfia</w:t>
      </w:r>
      <w:proofErr w:type="spellEnd"/>
      <w:r w:rsidR="001836E7">
        <w:t>» ingovernabile dei fini e dei sistemi di riferimento, in cui ai diversi modi di percepire (la bellezza di un’esquimese non corrisponde a un mio gusto o al canone estetico che ne ricavo) fa saltare l’unità di un’esperienza possibile. La dispersione dei gusti è teorizzata come dispersione ingovernabile dell’esperienza. Ma ci si deve chiedere se veramente la storicità delle idee regolative porti con sé l’ingovernabilità contingente delle esperienze. Di fatto esistono fenomeni di interferenza tra i vari modi di esperienza, unificabili proprio a livello del «fare esperienza» corrispondendo a un’esigenza di verità che mi reclama proprio nella risposta (di senso) che sto dando, mentre costruisco l’oggetto di esperienza. In questa fatica dell’esperienza il soggetto si scopre con-costituito in relazione al suo fare esperienza all’interno di un contesto di senso determinato (unità del mondo e continuità dell’io). Ci sono quindi esperienze diverse che costituiscono diversamente il soggetto. Ma anche questo non significa immediatamente che ci siano tanti soggetti quanti sono i modi dell’esperienza, bensì piuttosto che l’esperienza è un dialogo con la realtà, in cui il soggetto stesso si costituisce con la sua identità (unità del mondo e continuità dell’io) proprio nello sforzo di corrispondere all’esigenza d verità nella risposta che sta dando ai dati percepiti, costruendo l’oggetto nel suo giudizio che struttura l’esperienza.</w:t>
      </w:r>
    </w:p>
    <w:p w:rsidR="001836E7" w:rsidRDefault="001836E7" w:rsidP="001836E7">
      <w:pPr>
        <w:jc w:val="both"/>
      </w:pPr>
    </w:p>
    <w:p w:rsidR="001836E7" w:rsidRDefault="001836E7" w:rsidP="001836E7">
      <w:pPr>
        <w:jc w:val="both"/>
      </w:pPr>
      <w:r>
        <w:t xml:space="preserve">Queste tre dimensioni dell’istanza post-moderna del pluralismo rimandano tutte diversamente all’importanza per </w:t>
      </w:r>
      <w:smartTag w:uri="urn:schemas-microsoft-com:office:smarttags" w:element="PersonName">
        <w:smartTagPr>
          <w:attr w:name="ProductID" w:val="la Chiesa"/>
        </w:smartTagPr>
        <w:r>
          <w:t>la Chiesa</w:t>
        </w:r>
      </w:smartTag>
      <w:r>
        <w:t xml:space="preserve"> di incontrare le religioni al livello dell’esperienza più che delle rappresentazioni storiche</w:t>
      </w:r>
      <w:r w:rsidR="002F2C9F">
        <w:t>,</w:t>
      </w:r>
      <w:r>
        <w:t xml:space="preserve"> più o meno relativizzabili</w:t>
      </w:r>
      <w:r w:rsidR="002F2C9F">
        <w:t>,</w:t>
      </w:r>
      <w:r>
        <w:t xml:space="preserve"> o dei contesti e sistemi più o meno fondamentalisti. Ne derivano tre sottolineature.</w:t>
      </w:r>
    </w:p>
    <w:p w:rsidR="001836E7" w:rsidRDefault="001836E7" w:rsidP="001836E7">
      <w:pPr>
        <w:jc w:val="both"/>
      </w:pPr>
    </w:p>
    <w:p w:rsidR="001836E7" w:rsidRDefault="001836E7" w:rsidP="001836E7">
      <w:pPr>
        <w:jc w:val="both"/>
      </w:pPr>
      <w:r>
        <w:t xml:space="preserve">3.2. </w:t>
      </w:r>
      <w:r w:rsidRPr="00816FBE">
        <w:rPr>
          <w:i/>
        </w:rPr>
        <w:t>I tre livelli imprescindibili del confronto attuale con le altre religioni</w:t>
      </w:r>
      <w:r>
        <w:t>. Dalla rilettura critica delle dimensioni dell’istanza pluralista attuale, raccolta in ordine all’elaborazione di una teologia delle religioni, possiamo ricavare tre livelli costitutivi del confronto della Chiesa con le religioni.</w:t>
      </w:r>
    </w:p>
    <w:p w:rsidR="001836E7" w:rsidRDefault="001836E7" w:rsidP="001836E7">
      <w:pPr>
        <w:jc w:val="both"/>
      </w:pPr>
    </w:p>
    <w:p w:rsidR="001836E7" w:rsidRDefault="001836E7" w:rsidP="001836E7">
      <w:pPr>
        <w:jc w:val="both"/>
      </w:pPr>
      <w:r w:rsidRPr="008B68C7">
        <w:rPr>
          <w:i/>
        </w:rPr>
        <w:t>(a) Si tratta anzitutto di mantenere in vista il livello dell’esperienza e più precisamente del «fare esperienza»</w:t>
      </w:r>
      <w:r>
        <w:t xml:space="preserve">. «Fare esperienza», come lascia intendere il verbo, non è semplicemente ricevere stimoli, provare sensazioni, percepire qualcosa. L’esperienza include un’attiva risposta alla provocazione che viene dalla realtà sperimentata e solo all’interno di questa risposta si realizza. Ne deriva il </w:t>
      </w:r>
      <w:r w:rsidRPr="006C5891">
        <w:rPr>
          <w:i/>
        </w:rPr>
        <w:t>carattere responsoriale</w:t>
      </w:r>
      <w:r>
        <w:t xml:space="preserve"> del nostro percepire e pensare. In essi corrispondiamo a un’esigenza </w:t>
      </w:r>
      <w:r w:rsidRPr="0079786B">
        <w:rPr>
          <w:i/>
        </w:rPr>
        <w:t>(</w:t>
      </w:r>
      <w:proofErr w:type="spellStart"/>
      <w:r w:rsidRPr="0079786B">
        <w:rPr>
          <w:i/>
        </w:rPr>
        <w:t>Ansp</w:t>
      </w:r>
      <w:r>
        <w:rPr>
          <w:i/>
        </w:rPr>
        <w:t>r</w:t>
      </w:r>
      <w:r w:rsidRPr="0079786B">
        <w:rPr>
          <w:i/>
        </w:rPr>
        <w:t>uch</w:t>
      </w:r>
      <w:proofErr w:type="spellEnd"/>
      <w:r w:rsidRPr="0079786B">
        <w:rPr>
          <w:i/>
        </w:rPr>
        <w:t>)</w:t>
      </w:r>
      <w:r>
        <w:t xml:space="preserve"> posta dal reale e proprio attraverso questa risposta portiamo a linguaggio ciò che viviamo</w:t>
      </w:r>
      <w:r>
        <w:rPr>
          <w:rStyle w:val="Rimandonotaapidipagina"/>
        </w:rPr>
        <w:footnoteReference w:id="15"/>
      </w:r>
      <w:r>
        <w:t xml:space="preserve">. Perciò l’oggetto della nostra conoscenza, che rappresenta la misura secondo cui valutiamo la verità o falsità dei nostri giudizi, è già da sempre con-costituito da un’azione propria del soggetto conoscente. </w:t>
      </w:r>
    </w:p>
    <w:p w:rsidR="001836E7" w:rsidRDefault="001836E7" w:rsidP="001836E7">
      <w:pPr>
        <w:ind w:left="170" w:right="113"/>
        <w:jc w:val="both"/>
        <w:rPr>
          <w:sz w:val="22"/>
        </w:rPr>
      </w:pPr>
      <w:bookmarkStart w:id="0" w:name="_GoBack"/>
      <w:bookmarkEnd w:id="0"/>
    </w:p>
    <w:p w:rsidR="001836E7" w:rsidRDefault="001836E7" w:rsidP="001836E7">
      <w:pPr>
        <w:ind w:left="170" w:right="113"/>
        <w:jc w:val="both"/>
        <w:rPr>
          <w:sz w:val="22"/>
        </w:rPr>
      </w:pPr>
      <w:r w:rsidRPr="003E79A8">
        <w:rPr>
          <w:sz w:val="22"/>
        </w:rPr>
        <w:t>Per dirla con la tradizione filosofica aristotelica, ripresa nella Scolastica: «</w:t>
      </w:r>
      <w:proofErr w:type="spellStart"/>
      <w:r w:rsidRPr="003E79A8">
        <w:rPr>
          <w:sz w:val="22"/>
        </w:rPr>
        <w:t>Nihil</w:t>
      </w:r>
      <w:proofErr w:type="spellEnd"/>
      <w:r w:rsidRPr="003E79A8">
        <w:rPr>
          <w:sz w:val="22"/>
        </w:rPr>
        <w:t xml:space="preserve"> </w:t>
      </w:r>
      <w:proofErr w:type="spellStart"/>
      <w:r w:rsidRPr="003E79A8">
        <w:rPr>
          <w:sz w:val="22"/>
        </w:rPr>
        <w:t>cognoscimus</w:t>
      </w:r>
      <w:proofErr w:type="spellEnd"/>
      <w:r w:rsidRPr="003E79A8">
        <w:rPr>
          <w:sz w:val="22"/>
        </w:rPr>
        <w:t xml:space="preserve"> </w:t>
      </w:r>
      <w:proofErr w:type="spellStart"/>
      <w:r w:rsidRPr="003E79A8">
        <w:rPr>
          <w:sz w:val="22"/>
        </w:rPr>
        <w:t>nisi</w:t>
      </w:r>
      <w:proofErr w:type="spellEnd"/>
      <w:r w:rsidRPr="003E79A8">
        <w:rPr>
          <w:sz w:val="22"/>
        </w:rPr>
        <w:t xml:space="preserve"> verbo mentis» (nulla conosciamo se non all’interno di una parola prodotta dal nostro spirito). Non si tratta di un prodotto arbitrario della fantasia, ma piuttosto di una parola che cerca di corrispondere al reale, portando a espressione non un monologo dell’anima con se stessa, ma la verità della cosa, l’esigenza che misura il nostro pensare e giudicare. Anzi, occorre dire di più: al di là dell’obiettività degli oggetti percepiti, che si offrono come misura del giudizio del soggetto che percepisce, l’esperienza oggettiva realizza una risposta all’esigenza posta dal reale che vale in ogni tempo e per qualsiasi soggetto conoscente. In tal senso sia l’indagine empirica scientifica, che l’esperienza estetica, morale o religiosa non sono risposte arbitrarie o occasionali, ma contengono una logica necessaria in cui è portata a discorso una specifica esigenza del reale. Si basa su questa precisazione la distinzione tra mera interpretazione ed esperienza oggettiva. </w:t>
      </w:r>
      <w:r w:rsidRPr="003E79A8">
        <w:rPr>
          <w:sz w:val="22"/>
        </w:rPr>
        <w:lastRenderedPageBreak/>
        <w:t xml:space="preserve">Quest’ultima contiene sempre la scoperta di un’esigenza della realtà che è </w:t>
      </w:r>
      <w:r w:rsidRPr="003E79A8">
        <w:rPr>
          <w:i/>
          <w:sz w:val="22"/>
        </w:rPr>
        <w:t>obiettiva</w:t>
      </w:r>
      <w:r w:rsidRPr="003E79A8">
        <w:rPr>
          <w:sz w:val="22"/>
        </w:rPr>
        <w:t xml:space="preserve">, cioè tale da offrire la misura del nostro percepire e pensare e da reclamare un determinato modo di risposta, all’interno del quale soltanto l’esperienza può essere portata a linguaggio (e quindi può essere percepita dal soggetto e comunicata ad altri). La risposta in cui facciamo esperienza è sempre limitata e parziale, ma è un modo di corrispondere all’esigenza del reale che reclama e quindi è un modo oggettivo di conoscere. Un modo tra altri, ma con una sua logica. </w:t>
      </w:r>
    </w:p>
    <w:p w:rsidR="001836E7" w:rsidRPr="003E79A8" w:rsidRDefault="001836E7" w:rsidP="001836E7">
      <w:pPr>
        <w:ind w:left="170" w:right="113"/>
        <w:jc w:val="both"/>
        <w:rPr>
          <w:sz w:val="22"/>
        </w:rPr>
      </w:pPr>
    </w:p>
    <w:p w:rsidR="001836E7" w:rsidRDefault="001836E7" w:rsidP="001836E7">
      <w:pPr>
        <w:jc w:val="both"/>
      </w:pPr>
      <w:r>
        <w:t xml:space="preserve">La pluralità di esperienze rimanda non solo a varie possibili interpretazioni, ma anche a diversi modi di rispondere all’esigenza con cui la realtà ci reclama e interpella. Tale esigenza, peraltro, non è percepibile se non all’interno della risposta, del </w:t>
      </w:r>
      <w:proofErr w:type="spellStart"/>
      <w:r w:rsidRPr="00EB0839">
        <w:rPr>
          <w:i/>
        </w:rPr>
        <w:t>verbum</w:t>
      </w:r>
      <w:proofErr w:type="spellEnd"/>
      <w:r w:rsidRPr="00EB0839">
        <w:rPr>
          <w:i/>
        </w:rPr>
        <w:t xml:space="preserve"> mentis</w:t>
      </w:r>
      <w:r>
        <w:t xml:space="preserve"> con cui cerchiamo di rispondere. L’esperienza quindi deriva dal modo in cui noi, attraverso il percepire e il pensare, rispondiamo all’esigenza posta dal reale. In concreto questa risposta consiste nella costruzione di un contesto di esperienza, ossia di un mondo di oggetti possibili e delle loro relazioni, e nella costituzione di una continuità del processo dell’esperienza, che legando l’esigenza del reale all’«io», permette a ciascuno di fare la «propria esperienza». La coerenza del contesto di esperienza (mondo) e la continuità dell’«io» conoscente sono condizioni ineludibili per fare esperienza, poiché sono condizioni che permettono di sillabare sensatamente ciò che viene sperimentato, portandolo a discorso e rendendolo universalmente comunicabile. Ma tale unità dell’esperire è un compito sempre da rinnovare, più che un dato pacifico, garantito a priori</w:t>
      </w:r>
    </w:p>
    <w:p w:rsidR="001836E7" w:rsidRDefault="001836E7" w:rsidP="001836E7">
      <w:pPr>
        <w:jc w:val="both"/>
      </w:pPr>
    </w:p>
    <w:p w:rsidR="001836E7" w:rsidRDefault="001836E7" w:rsidP="001836E7">
      <w:pPr>
        <w:jc w:val="both"/>
      </w:pPr>
      <w:r w:rsidRPr="008B68C7">
        <w:rPr>
          <w:i/>
        </w:rPr>
        <w:t>(b) Occorre inoltre tenere in vista all’interno della prassi di un sano dialogo (bilaterale) il livello della «</w:t>
      </w:r>
      <w:proofErr w:type="spellStart"/>
      <w:r w:rsidRPr="008B68C7">
        <w:rPr>
          <w:i/>
        </w:rPr>
        <w:t>veritas</w:t>
      </w:r>
      <w:proofErr w:type="spellEnd"/>
      <w:r w:rsidRPr="008B68C7">
        <w:rPr>
          <w:i/>
        </w:rPr>
        <w:t xml:space="preserve"> sempre </w:t>
      </w:r>
      <w:proofErr w:type="spellStart"/>
      <w:r w:rsidRPr="008B68C7">
        <w:rPr>
          <w:i/>
        </w:rPr>
        <w:t>maior</w:t>
      </w:r>
      <w:proofErr w:type="spellEnd"/>
      <w:r w:rsidRPr="008B68C7">
        <w:rPr>
          <w:i/>
        </w:rPr>
        <w:t>»</w:t>
      </w:r>
      <w:r>
        <w:t xml:space="preserve"> che reclama e fonda la stessa esigenza di dialogo: in esso si tratta non tanto di imporre ad altri la propria verità come esigenza, quanto piuttosto di condividere con gli altri l’esigenza di verità che ci reclama all’interno della nostra esperienza di fede. </w:t>
      </w:r>
      <w:r w:rsidRPr="00E044A6">
        <w:t>È</w:t>
      </w:r>
      <w:r>
        <w:t xml:space="preserve"> proprio questo livello della verità intesa come esigenza ch</w:t>
      </w:r>
      <w:r w:rsidR="00910CAC">
        <w:t xml:space="preserve">e </w:t>
      </w:r>
      <w:r>
        <w:t>reclama e che non è mai adeguatamente rappresentabile ed esprimibile, ma sempre intenzionata nelle risposte pur parziali che vengono date, che si tiene aperto quel dialogo con la realtà che fonda l’apertura alla verità nelle risposte date.</w:t>
      </w:r>
    </w:p>
    <w:p w:rsidR="001836E7" w:rsidRDefault="001836E7" w:rsidP="001836E7">
      <w:pPr>
        <w:ind w:left="170" w:right="113"/>
        <w:jc w:val="both"/>
        <w:rPr>
          <w:sz w:val="22"/>
        </w:rPr>
      </w:pPr>
    </w:p>
    <w:p w:rsidR="001836E7" w:rsidRDefault="001836E7" w:rsidP="001836E7">
      <w:pPr>
        <w:ind w:left="170" w:right="113"/>
        <w:jc w:val="both"/>
        <w:rPr>
          <w:sz w:val="22"/>
        </w:rPr>
      </w:pPr>
      <w:r w:rsidRPr="003E79A8">
        <w:rPr>
          <w:sz w:val="22"/>
        </w:rPr>
        <w:t>Come si è visto sopra, diventiamo consapevoli del carattere responsoriale della nostra esperienza nella misura in cui ci accorgiamo della differenza che rimane, proprio all’interno della nostra risposta, tra la risposta data e l’esigenza a cui vogliamo corrispondere. L’esperienza diventa il luogo della scoperta di una «</w:t>
      </w:r>
      <w:proofErr w:type="spellStart"/>
      <w:r w:rsidRPr="003E79A8">
        <w:rPr>
          <w:sz w:val="22"/>
        </w:rPr>
        <w:t>veritas</w:t>
      </w:r>
      <w:proofErr w:type="spellEnd"/>
      <w:r w:rsidRPr="003E79A8">
        <w:rPr>
          <w:sz w:val="22"/>
        </w:rPr>
        <w:t xml:space="preserve"> </w:t>
      </w:r>
      <w:proofErr w:type="spellStart"/>
      <w:r w:rsidRPr="003E79A8">
        <w:rPr>
          <w:sz w:val="22"/>
        </w:rPr>
        <w:t>semper</w:t>
      </w:r>
      <w:proofErr w:type="spellEnd"/>
      <w:r w:rsidRPr="003E79A8">
        <w:rPr>
          <w:sz w:val="22"/>
        </w:rPr>
        <w:t xml:space="preserve"> </w:t>
      </w:r>
      <w:proofErr w:type="spellStart"/>
      <w:r w:rsidRPr="003E79A8">
        <w:rPr>
          <w:sz w:val="22"/>
        </w:rPr>
        <w:t>maior</w:t>
      </w:r>
      <w:proofErr w:type="spellEnd"/>
      <w:r w:rsidRPr="003E79A8">
        <w:rPr>
          <w:sz w:val="22"/>
        </w:rPr>
        <w:t xml:space="preserve">», di una verità che è sempre più grande di ciò che ne conosciamo, eppure è come tale percepita solo all’interno del nostro sapere. Il carattere responsoriale della conoscenza rivela come la nostra risposta contenga sempre un momento che rimanda al di là della risposta attuale e tiene aperta la conoscenza ad ulteriori domande, che esigono un superamento-completamento della risposta data. In tal modo scopriamo che la risposta, col suo </w:t>
      </w:r>
      <w:proofErr w:type="spellStart"/>
      <w:r w:rsidRPr="003E79A8">
        <w:rPr>
          <w:i/>
          <w:sz w:val="22"/>
        </w:rPr>
        <w:t>verbum</w:t>
      </w:r>
      <w:proofErr w:type="spellEnd"/>
      <w:r w:rsidRPr="003E79A8">
        <w:rPr>
          <w:i/>
          <w:sz w:val="22"/>
        </w:rPr>
        <w:t xml:space="preserve"> mentis</w:t>
      </w:r>
      <w:r w:rsidRPr="003E79A8">
        <w:rPr>
          <w:sz w:val="22"/>
        </w:rPr>
        <w:t xml:space="preserve">, è momento di un dialogo con la realtà aperto al futuro e quindi si presenta come anticipazione di una verità più grande, a cui siamo rimandati e orientati. Anzi, si può dire che l’esperienza riesce tanto più, quanto più permette di tenere aperto il dialogo ad ulteriori domande e quindi ad altre dimensioni o appelli del reale. Il dialogo con la realtà, che è l’esperienza, si presenta come un compito che ci è affidato, un compito che è pur sempre percepito solo nella risposta che diamo all’esigenza posta dal reale. </w:t>
      </w:r>
    </w:p>
    <w:p w:rsidR="001836E7" w:rsidRPr="003E79A8" w:rsidRDefault="001836E7" w:rsidP="001836E7">
      <w:pPr>
        <w:ind w:left="170" w:right="113"/>
        <w:jc w:val="both"/>
        <w:rPr>
          <w:sz w:val="22"/>
        </w:rPr>
      </w:pPr>
    </w:p>
    <w:p w:rsidR="001836E7" w:rsidRDefault="001836E7" w:rsidP="001836E7">
      <w:pPr>
        <w:jc w:val="both"/>
      </w:pPr>
      <w:r>
        <w:t>Chiamiamo avvenimento, «evento (</w:t>
      </w:r>
      <w:proofErr w:type="spellStart"/>
      <w:r w:rsidRPr="00732AFA">
        <w:rPr>
          <w:i/>
        </w:rPr>
        <w:t>das</w:t>
      </w:r>
      <w:proofErr w:type="spellEnd"/>
      <w:r w:rsidRPr="00732AFA">
        <w:rPr>
          <w:i/>
        </w:rPr>
        <w:t xml:space="preserve"> </w:t>
      </w:r>
      <w:proofErr w:type="spellStart"/>
      <w:r w:rsidRPr="00732AFA">
        <w:rPr>
          <w:i/>
        </w:rPr>
        <w:t>Ereignis</w:t>
      </w:r>
      <w:proofErr w:type="spellEnd"/>
      <w:r>
        <w:t xml:space="preserve">)» questo momento in cui emerge, all’interno dell’esperienza, un’esigenza di fronte alla quale la nostra risposta si rivela sempre già di nuovo insufficiente, così che noi siamo indotti a cercare nuovi modi di corrispondere alla realtà e quindi di fare esperienza. Si vuole indicare in tal modo che si tratta di qualcosa che accade nell’atto del percepire e conoscere, ma non è frutto di questo atto. Si dà in esso e con esso, come qualcosa al di là del nostro agire e conoscere, che però reclama il nostro conoscere e lo apre a un’ulteriore verità. Così l’esperienza si scopre sempre insufficiente e bisognosa di superamento, di critica, proprio nello spazio della sua oggettività. Trova conferma il carattere dialogico dell’esperienza e il valore anticipatorio delle risposte con cui corrispondiamo all’esigenza del reale. </w:t>
      </w:r>
    </w:p>
    <w:p w:rsidR="001836E7" w:rsidRDefault="001836E7" w:rsidP="001836E7">
      <w:pPr>
        <w:jc w:val="both"/>
      </w:pPr>
    </w:p>
    <w:p w:rsidR="001836E7" w:rsidRDefault="001836E7" w:rsidP="001836E7">
      <w:pPr>
        <w:jc w:val="both"/>
      </w:pPr>
      <w:r w:rsidRPr="006C35E0">
        <w:rPr>
          <w:i/>
        </w:rPr>
        <w:lastRenderedPageBreak/>
        <w:t>(c) Infine occorre mantenere il confronto al livello del costituirsi del soggetto nell’esperienza</w:t>
      </w:r>
      <w:r>
        <w:t xml:space="preserve">. </w:t>
      </w:r>
      <w:r w:rsidRPr="00E044A6">
        <w:t>È</w:t>
      </w:r>
      <w:r>
        <w:t xml:space="preserve"> ciò che si chiama il livello personale e quindi interpersonale dell’incontro. Questo livello personale è proprio quello del soggetto che si scopre interpellato da una parola di rivelazione, </w:t>
      </w:r>
      <w:r w:rsidR="001F5D4A">
        <w:t xml:space="preserve">da un’intuizione spirituale, </w:t>
      </w:r>
      <w:r>
        <w:t xml:space="preserve">da una chiamata di Dio che si rivolge a lui in un «faccia a faccia» che si </w:t>
      </w:r>
      <w:r w:rsidR="001F5D4A">
        <w:t>gioca</w:t>
      </w:r>
      <w:r>
        <w:t xml:space="preserve"> nelle </w:t>
      </w:r>
      <w:r w:rsidR="00E70709">
        <w:t xml:space="preserve">condizioni storiche </w:t>
      </w:r>
      <w:r>
        <w:t xml:space="preserve">ma </w:t>
      </w:r>
      <w:r w:rsidR="00E70709">
        <w:t xml:space="preserve">anche </w:t>
      </w:r>
      <w:r>
        <w:t xml:space="preserve">al di là delle condizioni </w:t>
      </w:r>
      <w:r w:rsidR="00E70709">
        <w:t>da</w:t>
      </w:r>
      <w:r>
        <w:t xml:space="preserve">te e quindi contingenti. A questo livello Gesù non appare mai nel cristianesimo </w:t>
      </w:r>
      <w:r w:rsidR="00E70709">
        <w:t>a</w:t>
      </w:r>
      <w:r>
        <w:t xml:space="preserve">l modo di un oggetto o simbolo religioso che attiva qualche intuizione mistica o spirituale, ma piuttosto si tratta di un soggetto che dischiude un luogo dell’esperienza </w:t>
      </w:r>
      <w:r w:rsidR="00E70709">
        <w:t>(</w:t>
      </w:r>
      <w:r>
        <w:t>religiosa</w:t>
      </w:r>
      <w:r w:rsidR="00E70709">
        <w:t>)</w:t>
      </w:r>
      <w:r>
        <w:t>, uno spazio esistenziale che è la «</w:t>
      </w:r>
      <w:proofErr w:type="spellStart"/>
      <w:r>
        <w:t>fides</w:t>
      </w:r>
      <w:proofErr w:type="spellEnd"/>
      <w:r>
        <w:t xml:space="preserve"> </w:t>
      </w:r>
      <w:proofErr w:type="spellStart"/>
      <w:r>
        <w:t>Christi</w:t>
      </w:r>
      <w:proofErr w:type="spellEnd"/>
      <w:r>
        <w:t>», la sua intimità con Dio Padre. Tale soggettività che si con-costituisce proprio partecipando del modo di costruire l’esperienza storica proprio di Gesù, è da subito messo in gioco all’interno di una certa inter</w:t>
      </w:r>
      <w:r w:rsidR="00910CAC">
        <w:t>-</w:t>
      </w:r>
      <w:r>
        <w:t xml:space="preserve">personalità ecclesiale, che non è una generica comunità scientifica più o meno neutrale, ma è </w:t>
      </w:r>
      <w:smartTag w:uri="urn:schemas-microsoft-com:office:smarttags" w:element="PersonName">
        <w:smartTagPr>
          <w:attr w:name="ProductID" w:val="la Chiesa"/>
        </w:smartTagPr>
        <w:r>
          <w:t>la Chiesa</w:t>
        </w:r>
      </w:smartTag>
      <w:r>
        <w:t xml:space="preserve"> di Cristo. </w:t>
      </w:r>
      <w:r w:rsidRPr="00E044A6">
        <w:t>È</w:t>
      </w:r>
      <w:r>
        <w:t xml:space="preserve"> in questa inter</w:t>
      </w:r>
      <w:r w:rsidR="00910CAC">
        <w:t>-</w:t>
      </w:r>
      <w:r>
        <w:t xml:space="preserve">personalità nella quale i soggetti si costituiscono partecipando all’esperienza di Gesù (la forma storica della fede di Gesù) ad essere promotrice del dialogo e del confronto con altre forme dell’esperienza religiosa. </w:t>
      </w:r>
      <w:r w:rsidRPr="00E044A6">
        <w:t>È</w:t>
      </w:r>
      <w:r>
        <w:t xml:space="preserve"> </w:t>
      </w:r>
      <w:smartTag w:uri="urn:schemas-microsoft-com:office:smarttags" w:element="PersonName">
        <w:smartTagPr>
          <w:attr w:name="ProductID" w:val="la Chiesa"/>
        </w:smartTagPr>
        <w:r>
          <w:t>la Chiesa</w:t>
        </w:r>
      </w:smartTag>
      <w:r>
        <w:t xml:space="preserve"> che dialoga con le religioni, non una comunità scientifica astratta o un gruppo di esperti senza identità e appartenenza. </w:t>
      </w:r>
      <w:smartTag w:uri="urn:schemas-microsoft-com:office:smarttags" w:element="PersonName">
        <w:smartTagPr>
          <w:attr w:name="ProductID" w:val="la Chiesa"/>
        </w:smartTagPr>
        <w:r>
          <w:t>La Chiesa</w:t>
        </w:r>
      </w:smartTag>
      <w:r>
        <w:t xml:space="preserve"> lo fa proprio a partire da o in relazione a una certa continuità e unità di senso inscritte nella storia e non al di là di essa e quindi a partire da una certa identità, chiamata a verificare se il suo dialogo con la realtà è ancora aperto, oppure immunizzato rispetto alle novità (e quindi alle crisi) della storia.</w:t>
      </w:r>
    </w:p>
    <w:p w:rsidR="002F2C9F" w:rsidRDefault="002F2C9F" w:rsidP="001836E7">
      <w:pPr>
        <w:jc w:val="both"/>
      </w:pPr>
    </w:p>
    <w:sectPr w:rsidR="002F2C9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FD" w:rsidRDefault="001045FD" w:rsidP="001836E7">
      <w:r>
        <w:separator/>
      </w:r>
    </w:p>
  </w:endnote>
  <w:endnote w:type="continuationSeparator" w:id="0">
    <w:p w:rsidR="001045FD" w:rsidRDefault="001045FD" w:rsidP="0018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FD" w:rsidRDefault="001045FD" w:rsidP="001836E7">
      <w:r>
        <w:separator/>
      </w:r>
    </w:p>
  </w:footnote>
  <w:footnote w:type="continuationSeparator" w:id="0">
    <w:p w:rsidR="001045FD" w:rsidRDefault="001045FD" w:rsidP="001836E7">
      <w:r>
        <w:continuationSeparator/>
      </w:r>
    </w:p>
  </w:footnote>
  <w:footnote w:id="1">
    <w:p w:rsidR="001836E7" w:rsidRPr="00910CAC" w:rsidRDefault="001836E7" w:rsidP="00910CAC">
      <w:pPr>
        <w:pStyle w:val="Testonotaapidipagina"/>
        <w:jc w:val="both"/>
      </w:pPr>
      <w:r w:rsidRPr="00910CAC">
        <w:rPr>
          <w:rStyle w:val="Rimandonotaapidipagina"/>
        </w:rPr>
        <w:footnoteRef/>
      </w:r>
      <w:r w:rsidRPr="00910CAC">
        <w:t xml:space="preserve"> Si veda </w:t>
      </w:r>
      <w:r w:rsidRPr="00910CAC">
        <w:rPr>
          <w:smallCaps/>
        </w:rPr>
        <w:t xml:space="preserve">R. </w:t>
      </w:r>
      <w:proofErr w:type="spellStart"/>
      <w:r w:rsidRPr="00910CAC">
        <w:rPr>
          <w:smallCaps/>
        </w:rPr>
        <w:t>Panikkar</w:t>
      </w:r>
      <w:proofErr w:type="spellEnd"/>
      <w:r w:rsidRPr="00910CAC">
        <w:t xml:space="preserve">, </w:t>
      </w:r>
      <w:r w:rsidRPr="00910CAC">
        <w:rPr>
          <w:i/>
        </w:rPr>
        <w:t>Il Giordano, il Tevere e il Gange</w:t>
      </w:r>
      <w:r w:rsidRPr="00910CAC">
        <w:t xml:space="preserve">, in </w:t>
      </w:r>
      <w:r w:rsidRPr="00910CAC">
        <w:rPr>
          <w:smallCaps/>
        </w:rPr>
        <w:t xml:space="preserve">J. </w:t>
      </w:r>
      <w:proofErr w:type="spellStart"/>
      <w:r w:rsidRPr="00910CAC">
        <w:rPr>
          <w:smallCaps/>
        </w:rPr>
        <w:t>Hick</w:t>
      </w:r>
      <w:proofErr w:type="spellEnd"/>
      <w:r w:rsidRPr="00910CAC">
        <w:rPr>
          <w:smallCaps/>
        </w:rPr>
        <w:t xml:space="preserve"> – P. </w:t>
      </w:r>
      <w:proofErr w:type="spellStart"/>
      <w:r w:rsidRPr="00910CAC">
        <w:rPr>
          <w:smallCaps/>
        </w:rPr>
        <w:t>Knitter</w:t>
      </w:r>
      <w:proofErr w:type="spellEnd"/>
      <w:r w:rsidRPr="00910CAC">
        <w:t xml:space="preserve"> (ed), </w:t>
      </w:r>
      <w:r w:rsidRPr="00910CAC">
        <w:rPr>
          <w:i/>
        </w:rPr>
        <w:t>L’unicità cristiana: un mito? Per una teologia pluralista delle religioni</w:t>
      </w:r>
      <w:r w:rsidRPr="00910CAC">
        <w:t>, Assisi, Cittadella editrice, 1994, pp. 193-197.</w:t>
      </w:r>
    </w:p>
  </w:footnote>
  <w:footnote w:id="2">
    <w:p w:rsidR="001836E7" w:rsidRPr="00910CAC" w:rsidRDefault="001836E7" w:rsidP="00910CAC">
      <w:pPr>
        <w:ind w:right="113"/>
        <w:jc w:val="both"/>
        <w:rPr>
          <w:sz w:val="20"/>
          <w:szCs w:val="20"/>
        </w:rPr>
      </w:pPr>
      <w:r w:rsidRPr="00910CAC">
        <w:rPr>
          <w:rStyle w:val="Rimandonotaapidipagina"/>
          <w:sz w:val="20"/>
          <w:szCs w:val="20"/>
        </w:rPr>
        <w:footnoteRef/>
      </w:r>
      <w:r w:rsidRPr="00910CAC">
        <w:rPr>
          <w:sz w:val="20"/>
          <w:szCs w:val="20"/>
        </w:rPr>
        <w:t xml:space="preserve"> </w:t>
      </w:r>
      <w:r w:rsidRPr="00910CAC">
        <w:rPr>
          <w:smallCaps/>
          <w:sz w:val="20"/>
          <w:szCs w:val="20"/>
        </w:rPr>
        <w:t>J. Ries</w:t>
      </w:r>
      <w:r w:rsidRPr="00910CAC">
        <w:rPr>
          <w:sz w:val="20"/>
          <w:szCs w:val="20"/>
        </w:rPr>
        <w:t xml:space="preserve">, </w:t>
      </w:r>
      <w:r w:rsidRPr="00910CAC">
        <w:rPr>
          <w:i/>
          <w:sz w:val="20"/>
          <w:szCs w:val="20"/>
        </w:rPr>
        <w:t>I cristiani e le religioni</w:t>
      </w:r>
      <w:r w:rsidRPr="00910CAC">
        <w:rPr>
          <w:sz w:val="20"/>
          <w:szCs w:val="20"/>
        </w:rPr>
        <w:t xml:space="preserve"> (=Manuale di Teologia 5), Brescia, Queriniana, 1992</w:t>
      </w:r>
    </w:p>
  </w:footnote>
  <w:footnote w:id="3">
    <w:p w:rsidR="001836E7" w:rsidRPr="00910CAC" w:rsidRDefault="001836E7" w:rsidP="00910CAC">
      <w:pPr>
        <w:pStyle w:val="Testonotaapidipagina"/>
        <w:jc w:val="both"/>
      </w:pPr>
      <w:r w:rsidRPr="00910CAC">
        <w:rPr>
          <w:rStyle w:val="Rimandonotaapidipagina"/>
        </w:rPr>
        <w:footnoteRef/>
      </w:r>
      <w:r w:rsidRPr="00910CAC">
        <w:t xml:space="preserve"> Per questa lettura e il senso dell’ermeneu</w:t>
      </w:r>
      <w:r w:rsidR="00910CAC">
        <w:t>tica che contestualizza i testi</w:t>
      </w:r>
      <w:r w:rsidRPr="00910CAC">
        <w:t xml:space="preserve"> </w:t>
      </w:r>
      <w:proofErr w:type="spellStart"/>
      <w:r w:rsidRPr="00910CAC">
        <w:t>magisteriali</w:t>
      </w:r>
      <w:proofErr w:type="spellEnd"/>
      <w:r w:rsidRPr="00910CAC">
        <w:t xml:space="preserve"> nella visione del mondo dell’epoca si veda </w:t>
      </w:r>
      <w:r w:rsidRPr="00910CAC">
        <w:rPr>
          <w:smallCaps/>
        </w:rPr>
        <w:t xml:space="preserve">B. </w:t>
      </w:r>
      <w:proofErr w:type="spellStart"/>
      <w:r w:rsidRPr="00910CAC">
        <w:rPr>
          <w:smallCaps/>
        </w:rPr>
        <w:t>Sesboüé</w:t>
      </w:r>
      <w:proofErr w:type="spellEnd"/>
      <w:r w:rsidRPr="00910CAC">
        <w:t xml:space="preserve">, </w:t>
      </w:r>
      <w:r w:rsidRPr="00910CAC">
        <w:rPr>
          <w:i/>
        </w:rPr>
        <w:t>Hors de l’</w:t>
      </w:r>
      <w:proofErr w:type="spellStart"/>
      <w:r w:rsidRPr="00910CAC">
        <w:rPr>
          <w:i/>
        </w:rPr>
        <w:t>Eglise</w:t>
      </w:r>
      <w:proofErr w:type="spellEnd"/>
      <w:r w:rsidRPr="00910CAC">
        <w:rPr>
          <w:i/>
        </w:rPr>
        <w:t xml:space="preserve">, </w:t>
      </w:r>
      <w:proofErr w:type="spellStart"/>
      <w:r w:rsidRPr="00910CAC">
        <w:rPr>
          <w:i/>
        </w:rPr>
        <w:t>pas</w:t>
      </w:r>
      <w:proofErr w:type="spellEnd"/>
      <w:r w:rsidRPr="00910CAC">
        <w:rPr>
          <w:i/>
        </w:rPr>
        <w:t xml:space="preserve"> de </w:t>
      </w:r>
      <w:proofErr w:type="spellStart"/>
      <w:r w:rsidRPr="00910CAC">
        <w:rPr>
          <w:i/>
        </w:rPr>
        <w:t>salut</w:t>
      </w:r>
      <w:proofErr w:type="spellEnd"/>
      <w:r w:rsidRPr="00910CAC">
        <w:t xml:space="preserve">, </w:t>
      </w:r>
      <w:proofErr w:type="spellStart"/>
      <w:r w:rsidRPr="00910CAC">
        <w:t>Desclée</w:t>
      </w:r>
      <w:proofErr w:type="spellEnd"/>
      <w:r w:rsidRPr="00910CAC">
        <w:t>, Paris, 2003, pp. 100-104.</w:t>
      </w:r>
    </w:p>
  </w:footnote>
  <w:footnote w:id="4">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smallCaps/>
        </w:rPr>
        <w:t xml:space="preserve">A. Ales Bello – L. Messinese – A. </w:t>
      </w:r>
      <w:proofErr w:type="spellStart"/>
      <w:r w:rsidRPr="00910CAC">
        <w:rPr>
          <w:smallCaps/>
        </w:rPr>
        <w:t>Molinaro</w:t>
      </w:r>
      <w:proofErr w:type="spellEnd"/>
      <w:r w:rsidRPr="00910CAC">
        <w:t xml:space="preserve"> (</w:t>
      </w:r>
      <w:proofErr w:type="spellStart"/>
      <w:r w:rsidRPr="00910CAC">
        <w:t>edd</w:t>
      </w:r>
      <w:proofErr w:type="spellEnd"/>
      <w:r w:rsidRPr="00910CAC">
        <w:t xml:space="preserve">), </w:t>
      </w:r>
      <w:r w:rsidRPr="00910CAC">
        <w:rPr>
          <w:i/>
        </w:rPr>
        <w:t>Fondamento e fondamentalismi. Filosofia, teologia, religioni</w:t>
      </w:r>
      <w:r w:rsidRPr="00910CAC">
        <w:t>, Roma, Città Nuova, 2004, pp. 5-10.</w:t>
      </w:r>
    </w:p>
  </w:footnote>
  <w:footnote w:id="5">
    <w:p w:rsidR="001836E7" w:rsidRPr="00910CAC" w:rsidRDefault="001836E7" w:rsidP="00910CAC">
      <w:pPr>
        <w:pStyle w:val="Testonotaapidipagina"/>
        <w:jc w:val="both"/>
      </w:pPr>
      <w:r w:rsidRPr="00910CAC">
        <w:rPr>
          <w:rStyle w:val="Rimandonotaapidipagina"/>
        </w:rPr>
        <w:footnoteRef/>
      </w:r>
      <w:r w:rsidRPr="00910CAC">
        <w:t xml:space="preserve"> Per una presentazione complessiva dei vari fondamentalismi (cristiano, ebraico, islamico, induista e </w:t>
      </w:r>
      <w:proofErr w:type="spellStart"/>
      <w:r w:rsidRPr="00910CAC">
        <w:t>sik</w:t>
      </w:r>
      <w:proofErr w:type="spellEnd"/>
      <w:r w:rsidRPr="00910CAC">
        <w:t xml:space="preserve">) si veda il bel lavoro di </w:t>
      </w:r>
      <w:r w:rsidRPr="00910CAC">
        <w:rPr>
          <w:smallCaps/>
        </w:rPr>
        <w:t>E. Pace – P. Stefani</w:t>
      </w:r>
      <w:r w:rsidRPr="00910CAC">
        <w:t xml:space="preserve"> (ed), </w:t>
      </w:r>
      <w:r w:rsidRPr="00910CAC">
        <w:rPr>
          <w:i/>
        </w:rPr>
        <w:t>Il fondamentalismo religioso contemporaneo</w:t>
      </w:r>
      <w:r w:rsidRPr="00910CAC">
        <w:t xml:space="preserve">, Brescia, Queriniana, 2000. Sul versante sociologico le tesi qui espresse riprendono lo studio di </w:t>
      </w:r>
      <w:r w:rsidRPr="00910CAC">
        <w:rPr>
          <w:smallCaps/>
        </w:rPr>
        <w:t>E. Pace</w:t>
      </w:r>
      <w:r w:rsidRPr="00910CAC">
        <w:t xml:space="preserve">, </w:t>
      </w:r>
      <w:r w:rsidRPr="00910CAC">
        <w:rPr>
          <w:i/>
        </w:rPr>
        <w:t>Il regime della verità. Il fondamentalismo contemporaneo</w:t>
      </w:r>
      <w:r w:rsidRPr="00910CAC">
        <w:t>, Bologna, Il Mulino, 1990.</w:t>
      </w:r>
    </w:p>
  </w:footnote>
  <w:footnote w:id="6">
    <w:p w:rsidR="001836E7" w:rsidRPr="00910CAC" w:rsidRDefault="001836E7" w:rsidP="00910CAC">
      <w:pPr>
        <w:pStyle w:val="Testonotaapidipagina"/>
        <w:jc w:val="both"/>
      </w:pPr>
      <w:r w:rsidRPr="00910CAC">
        <w:rPr>
          <w:rStyle w:val="Rimandonotaapidipagina"/>
        </w:rPr>
        <w:footnoteRef/>
      </w:r>
      <w:r w:rsidRPr="00910CAC">
        <w:t xml:space="preserve"> Su questa definizione e per una più dettagliata spiegazione dei termini si veda </w:t>
      </w:r>
      <w:r w:rsidRPr="00910CAC">
        <w:rPr>
          <w:smallCaps/>
        </w:rPr>
        <w:t>E. Pace – P. Stefani</w:t>
      </w:r>
      <w:r w:rsidRPr="00910CAC">
        <w:t xml:space="preserve"> (ed), </w:t>
      </w:r>
      <w:r w:rsidRPr="00910CAC">
        <w:rPr>
          <w:i/>
        </w:rPr>
        <w:t>Il fondamentalismo religioso contemporaneo</w:t>
      </w:r>
      <w:r w:rsidRPr="00910CAC">
        <w:t>, pp. 22-24.</w:t>
      </w:r>
    </w:p>
  </w:footnote>
  <w:footnote w:id="7">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smallCaps/>
        </w:rPr>
        <w:t xml:space="preserve">M. </w:t>
      </w:r>
      <w:proofErr w:type="spellStart"/>
      <w:r w:rsidRPr="00910CAC">
        <w:rPr>
          <w:smallCaps/>
        </w:rPr>
        <w:t>Introvigne</w:t>
      </w:r>
      <w:proofErr w:type="spellEnd"/>
      <w:r w:rsidRPr="00910CAC">
        <w:t xml:space="preserve">, </w:t>
      </w:r>
      <w:r w:rsidRPr="00910CAC">
        <w:rPr>
          <w:i/>
        </w:rPr>
        <w:t>Fondamentalismi. I diversi volti dell’intransigenza religiosa</w:t>
      </w:r>
      <w:r w:rsidRPr="00910CAC">
        <w:t xml:space="preserve">, Casale Monferrato, Piemme, 2004, pp. 60-61: la tabella si trova a p. 67. Si veda anche </w:t>
      </w:r>
      <w:r w:rsidRPr="00910CAC">
        <w:rPr>
          <w:smallCaps/>
        </w:rPr>
        <w:t xml:space="preserve">R. </w:t>
      </w:r>
      <w:proofErr w:type="spellStart"/>
      <w:r w:rsidRPr="00910CAC">
        <w:rPr>
          <w:smallCaps/>
        </w:rPr>
        <w:t>Stark</w:t>
      </w:r>
      <w:proofErr w:type="spellEnd"/>
      <w:r w:rsidRPr="00910CAC">
        <w:rPr>
          <w:smallCaps/>
        </w:rPr>
        <w:t xml:space="preserve"> – M. </w:t>
      </w:r>
      <w:proofErr w:type="spellStart"/>
      <w:r w:rsidRPr="00910CAC">
        <w:rPr>
          <w:smallCaps/>
        </w:rPr>
        <w:t>Introvigne</w:t>
      </w:r>
      <w:proofErr w:type="spellEnd"/>
      <w:r w:rsidRPr="00910CAC">
        <w:t xml:space="preserve">, </w:t>
      </w:r>
      <w:r w:rsidRPr="00910CAC">
        <w:rPr>
          <w:i/>
        </w:rPr>
        <w:t>Dio è tornato. Indagine sulla rivincita delle religioni in Occidente</w:t>
      </w:r>
      <w:r w:rsidRPr="00910CAC">
        <w:t>, Casale M., Piemme, 2003.</w:t>
      </w:r>
    </w:p>
  </w:footnote>
  <w:footnote w:id="8">
    <w:p w:rsidR="001836E7" w:rsidRPr="00910CAC" w:rsidRDefault="001836E7" w:rsidP="00910CAC">
      <w:pPr>
        <w:pStyle w:val="Testonotaapidipagina"/>
        <w:jc w:val="both"/>
      </w:pPr>
      <w:r w:rsidRPr="00910CAC">
        <w:rPr>
          <w:rStyle w:val="Rimandonotaapidipagina"/>
        </w:rPr>
        <w:footnoteRef/>
      </w:r>
      <w:r w:rsidRPr="00910CAC">
        <w:t xml:space="preserve"> Per questo tipo di analisi si veda l’interessante studio di </w:t>
      </w:r>
      <w:r w:rsidRPr="00910CAC">
        <w:rPr>
          <w:smallCaps/>
        </w:rPr>
        <w:t>M. Aletti – G. Rossi</w:t>
      </w:r>
      <w:r w:rsidRPr="00910CAC">
        <w:t xml:space="preserve"> (ed), </w:t>
      </w:r>
      <w:r w:rsidRPr="00910CAC">
        <w:rPr>
          <w:i/>
        </w:rPr>
        <w:t>Identità religiosa, pluralismo, fondamentalismo</w:t>
      </w:r>
      <w:r w:rsidRPr="00910CAC">
        <w:t>, Milano, Glossa, 2004.</w:t>
      </w:r>
    </w:p>
  </w:footnote>
  <w:footnote w:id="9">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smallCaps/>
        </w:rPr>
        <w:t>J. Ratzinger</w:t>
      </w:r>
      <w:r w:rsidRPr="00910CAC">
        <w:t xml:space="preserve">, </w:t>
      </w:r>
      <w:r w:rsidRPr="00910CAC">
        <w:rPr>
          <w:i/>
        </w:rPr>
        <w:t>Fede, verità, tolleranza. Il cristianesimo e le religioni del mondo</w:t>
      </w:r>
      <w:r w:rsidRPr="00910CAC">
        <w:t xml:space="preserve">, Siena, Edizioni </w:t>
      </w:r>
      <w:proofErr w:type="spellStart"/>
      <w:r w:rsidRPr="00910CAC">
        <w:t>Cantagalli</w:t>
      </w:r>
      <w:proofErr w:type="spellEnd"/>
      <w:r w:rsidRPr="00910CAC">
        <w:t>, 2003, pp. 170-171.</w:t>
      </w:r>
    </w:p>
  </w:footnote>
  <w:footnote w:id="10">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i/>
          <w:iCs/>
        </w:rPr>
        <w:t>Ivi</w:t>
      </w:r>
      <w:r w:rsidRPr="00910CAC">
        <w:t>, pp. 65-67.</w:t>
      </w:r>
    </w:p>
  </w:footnote>
  <w:footnote w:id="11">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i/>
          <w:iCs/>
        </w:rPr>
        <w:t>Ivi</w:t>
      </w:r>
      <w:r w:rsidRPr="00910CAC">
        <w:t>, p. 205.</w:t>
      </w:r>
    </w:p>
  </w:footnote>
  <w:footnote w:id="12">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i/>
          <w:iCs/>
        </w:rPr>
        <w:t>Ivi</w:t>
      </w:r>
      <w:r w:rsidRPr="00910CAC">
        <w:t>, pp. 210-211.</w:t>
      </w:r>
    </w:p>
  </w:footnote>
  <w:footnote w:id="13">
    <w:p w:rsidR="001836E7" w:rsidRPr="00910CAC" w:rsidRDefault="001836E7" w:rsidP="00910CAC">
      <w:pPr>
        <w:pStyle w:val="Testonotaapidipagina"/>
        <w:jc w:val="both"/>
      </w:pPr>
      <w:r w:rsidRPr="00910CAC">
        <w:rPr>
          <w:rStyle w:val="Rimandonotaapidipagina"/>
        </w:rPr>
        <w:footnoteRef/>
      </w:r>
      <w:r w:rsidRPr="00910CAC">
        <w:t xml:space="preserve"> </w:t>
      </w:r>
      <w:r w:rsidRPr="00910CAC">
        <w:rPr>
          <w:i/>
          <w:iCs/>
        </w:rPr>
        <w:t>Ivi</w:t>
      </w:r>
      <w:r w:rsidRPr="00910CAC">
        <w:t>, pp. 91-92.</w:t>
      </w:r>
    </w:p>
  </w:footnote>
  <w:footnote w:id="14">
    <w:p w:rsidR="001836E7" w:rsidRPr="00910CAC" w:rsidRDefault="001836E7" w:rsidP="00910CAC">
      <w:pPr>
        <w:pStyle w:val="Testonotaapidipagina"/>
        <w:jc w:val="both"/>
      </w:pPr>
      <w:r w:rsidRPr="00910CAC">
        <w:rPr>
          <w:rStyle w:val="Rimandonotaapidipagina"/>
        </w:rPr>
        <w:footnoteRef/>
      </w:r>
      <w:r w:rsidRPr="00910CAC">
        <w:t xml:space="preserve"> Si noti che questa tensione tra prospettive differenti non è determinata da cattive intenzioni o interessi parziali di una o più parti in gioco. Si tratta invece di interferenze tra modi di esperienza legittimi e positivi nel loro genere e secondo la loro logica propria. Le società complesse vivono di questi conflitti tra sistemi di orientamento differenti, che diversamente pretendono di custodire i veri valori della vita e la dignità della persona (scienza, politica, morale, religione).</w:t>
      </w:r>
    </w:p>
  </w:footnote>
  <w:footnote w:id="15">
    <w:p w:rsidR="001836E7" w:rsidRPr="00910CAC" w:rsidRDefault="001836E7" w:rsidP="00910CAC">
      <w:pPr>
        <w:pStyle w:val="Testonotaapidipagina"/>
        <w:jc w:val="both"/>
      </w:pPr>
      <w:r w:rsidRPr="00910CAC">
        <w:rPr>
          <w:rStyle w:val="Rimandonotaapidipagina"/>
        </w:rPr>
        <w:footnoteRef/>
      </w:r>
      <w:r w:rsidRPr="00910CAC">
        <w:t xml:space="preserve"> Per queste considerazioni si veda </w:t>
      </w:r>
      <w:r w:rsidRPr="00910CAC">
        <w:rPr>
          <w:smallCaps/>
        </w:rPr>
        <w:t xml:space="preserve">R. </w:t>
      </w:r>
      <w:proofErr w:type="spellStart"/>
      <w:r w:rsidRPr="00910CAC">
        <w:rPr>
          <w:smallCaps/>
        </w:rPr>
        <w:t>Schaeffler</w:t>
      </w:r>
      <w:proofErr w:type="spellEnd"/>
      <w:r w:rsidRPr="00910CAC">
        <w:t xml:space="preserve">, </w:t>
      </w:r>
      <w:proofErr w:type="spellStart"/>
      <w:r w:rsidRPr="00910CAC">
        <w:rPr>
          <w:i/>
        </w:rPr>
        <w:t>Erfahrung</w:t>
      </w:r>
      <w:proofErr w:type="spellEnd"/>
      <w:r w:rsidRPr="00910CAC">
        <w:rPr>
          <w:i/>
        </w:rPr>
        <w:t xml:space="preserve"> </w:t>
      </w:r>
      <w:proofErr w:type="spellStart"/>
      <w:r w:rsidRPr="00910CAC">
        <w:rPr>
          <w:i/>
        </w:rPr>
        <w:t>als</w:t>
      </w:r>
      <w:proofErr w:type="spellEnd"/>
      <w:r w:rsidRPr="00910CAC">
        <w:rPr>
          <w:i/>
        </w:rPr>
        <w:t xml:space="preserve"> </w:t>
      </w:r>
      <w:proofErr w:type="spellStart"/>
      <w:r w:rsidRPr="00910CAC">
        <w:rPr>
          <w:i/>
        </w:rPr>
        <w:t>Dialog</w:t>
      </w:r>
      <w:proofErr w:type="spellEnd"/>
      <w:r w:rsidRPr="00910CAC">
        <w:rPr>
          <w:i/>
        </w:rPr>
        <w:t xml:space="preserve"> </w:t>
      </w:r>
      <w:proofErr w:type="spellStart"/>
      <w:r w:rsidRPr="00910CAC">
        <w:rPr>
          <w:i/>
        </w:rPr>
        <w:t>mit</w:t>
      </w:r>
      <w:proofErr w:type="spellEnd"/>
      <w:r w:rsidRPr="00910CAC">
        <w:rPr>
          <w:i/>
        </w:rPr>
        <w:t xml:space="preserve"> </w:t>
      </w:r>
      <w:proofErr w:type="spellStart"/>
      <w:r w:rsidRPr="00910CAC">
        <w:rPr>
          <w:i/>
        </w:rPr>
        <w:t>der</w:t>
      </w:r>
      <w:proofErr w:type="spellEnd"/>
      <w:r w:rsidRPr="00910CAC">
        <w:rPr>
          <w:i/>
        </w:rPr>
        <w:t xml:space="preserve"> </w:t>
      </w:r>
      <w:proofErr w:type="spellStart"/>
      <w:r w:rsidRPr="00910CAC">
        <w:rPr>
          <w:i/>
        </w:rPr>
        <w:t>Wirklichkeit</w:t>
      </w:r>
      <w:proofErr w:type="spellEnd"/>
      <w:r w:rsidRPr="00910CAC">
        <w:rPr>
          <w:i/>
        </w:rPr>
        <w:t xml:space="preserve">. </w:t>
      </w:r>
      <w:proofErr w:type="spellStart"/>
      <w:r w:rsidRPr="00910CAC">
        <w:rPr>
          <w:i/>
          <w:lang w:val="en-GB"/>
        </w:rPr>
        <w:t>Eine</w:t>
      </w:r>
      <w:proofErr w:type="spellEnd"/>
      <w:r w:rsidRPr="00910CAC">
        <w:rPr>
          <w:i/>
          <w:lang w:val="en-GB"/>
        </w:rPr>
        <w:t xml:space="preserve"> </w:t>
      </w:r>
      <w:proofErr w:type="spellStart"/>
      <w:r w:rsidRPr="00910CAC">
        <w:rPr>
          <w:i/>
          <w:lang w:val="en-GB"/>
        </w:rPr>
        <w:t>Untersuchung</w:t>
      </w:r>
      <w:proofErr w:type="spellEnd"/>
      <w:r w:rsidRPr="00910CAC">
        <w:rPr>
          <w:i/>
          <w:lang w:val="en-GB"/>
        </w:rPr>
        <w:t xml:space="preserve"> </w:t>
      </w:r>
      <w:proofErr w:type="spellStart"/>
      <w:r w:rsidRPr="00910CAC">
        <w:rPr>
          <w:i/>
          <w:lang w:val="en-GB"/>
        </w:rPr>
        <w:t>zur</w:t>
      </w:r>
      <w:proofErr w:type="spellEnd"/>
      <w:r w:rsidRPr="00910CAC">
        <w:rPr>
          <w:i/>
          <w:lang w:val="en-GB"/>
        </w:rPr>
        <w:t xml:space="preserve"> </w:t>
      </w:r>
      <w:proofErr w:type="spellStart"/>
      <w:r w:rsidRPr="00910CAC">
        <w:rPr>
          <w:i/>
          <w:lang w:val="en-GB"/>
        </w:rPr>
        <w:t>Logik</w:t>
      </w:r>
      <w:proofErr w:type="spellEnd"/>
      <w:r w:rsidRPr="00910CAC">
        <w:rPr>
          <w:i/>
          <w:lang w:val="en-GB"/>
        </w:rPr>
        <w:t xml:space="preserve"> der </w:t>
      </w:r>
      <w:proofErr w:type="spellStart"/>
      <w:r w:rsidRPr="00910CAC">
        <w:rPr>
          <w:i/>
          <w:lang w:val="en-GB"/>
        </w:rPr>
        <w:t>Erfahrung</w:t>
      </w:r>
      <w:proofErr w:type="spellEnd"/>
      <w:r w:rsidRPr="00910CAC">
        <w:rPr>
          <w:lang w:val="en-GB"/>
        </w:rPr>
        <w:t>, Freiburg-</w:t>
      </w:r>
      <w:proofErr w:type="spellStart"/>
      <w:r w:rsidRPr="00910CAC">
        <w:rPr>
          <w:lang w:val="en-GB"/>
        </w:rPr>
        <w:t>München</w:t>
      </w:r>
      <w:proofErr w:type="spellEnd"/>
      <w:r w:rsidRPr="00910CAC">
        <w:rPr>
          <w:lang w:val="en-GB"/>
        </w:rPr>
        <w:t xml:space="preserve">, </w:t>
      </w:r>
      <w:proofErr w:type="spellStart"/>
      <w:r w:rsidRPr="00910CAC">
        <w:rPr>
          <w:lang w:val="en-GB"/>
        </w:rPr>
        <w:t>Alber</w:t>
      </w:r>
      <w:proofErr w:type="spellEnd"/>
      <w:r w:rsidRPr="00910CAC">
        <w:rPr>
          <w:lang w:val="en-GB"/>
        </w:rPr>
        <w:t xml:space="preserve"> </w:t>
      </w:r>
      <w:proofErr w:type="spellStart"/>
      <w:r w:rsidRPr="00910CAC">
        <w:rPr>
          <w:lang w:val="en-GB"/>
        </w:rPr>
        <w:t>erlag</w:t>
      </w:r>
      <w:proofErr w:type="spellEnd"/>
      <w:r w:rsidRPr="00910CAC">
        <w:rPr>
          <w:lang w:val="en-GB"/>
        </w:rPr>
        <w:t xml:space="preserve"> 1995, 298-</w:t>
      </w:r>
      <w:smartTag w:uri="urn:schemas-microsoft-com:office:smarttags" w:element="metricconverter">
        <w:smartTagPr>
          <w:attr w:name="ProductID" w:val="317. In"/>
        </w:smartTagPr>
        <w:r w:rsidRPr="00910CAC">
          <w:rPr>
            <w:lang w:val="en-GB"/>
          </w:rPr>
          <w:t xml:space="preserve">317. </w:t>
        </w:r>
        <w:r w:rsidRPr="00910CAC">
          <w:t>In</w:t>
        </w:r>
      </w:smartTag>
      <w:r w:rsidRPr="00910CAC">
        <w:t xml:space="preserve"> termini più sintetici ma non meno chiari </w:t>
      </w:r>
      <w:r w:rsidRPr="00910CAC">
        <w:rPr>
          <w:smallCaps/>
        </w:rPr>
        <w:t>Idem</w:t>
      </w:r>
      <w:r w:rsidRPr="00910CAC">
        <w:t xml:space="preserve">, «Die </w:t>
      </w:r>
      <w:proofErr w:type="spellStart"/>
      <w:r w:rsidRPr="00910CAC">
        <w:t>religiöse</w:t>
      </w:r>
      <w:proofErr w:type="spellEnd"/>
      <w:r w:rsidRPr="00910CAC">
        <w:t xml:space="preserve"> </w:t>
      </w:r>
      <w:proofErr w:type="spellStart"/>
      <w:r w:rsidRPr="00910CAC">
        <w:t>Überlieferungsgemeinschaft</w:t>
      </w:r>
      <w:proofErr w:type="spellEnd"/>
      <w:r w:rsidRPr="00910CAC">
        <w:t xml:space="preserve"> </w:t>
      </w:r>
      <w:proofErr w:type="spellStart"/>
      <w:r w:rsidRPr="00910CAC">
        <w:t>als</w:t>
      </w:r>
      <w:proofErr w:type="spellEnd"/>
      <w:r w:rsidRPr="00910CAC">
        <w:t xml:space="preserve"> </w:t>
      </w:r>
      <w:proofErr w:type="spellStart"/>
      <w:r w:rsidRPr="00910CAC">
        <w:t>Schule</w:t>
      </w:r>
      <w:proofErr w:type="spellEnd"/>
      <w:r w:rsidRPr="00910CAC">
        <w:t xml:space="preserve"> </w:t>
      </w:r>
      <w:proofErr w:type="spellStart"/>
      <w:r w:rsidRPr="00910CAC">
        <w:t>der</w:t>
      </w:r>
      <w:proofErr w:type="spellEnd"/>
      <w:r w:rsidRPr="00910CAC">
        <w:t xml:space="preserve"> </w:t>
      </w:r>
      <w:proofErr w:type="spellStart"/>
      <w:r w:rsidRPr="00910CAC">
        <w:t>Erfahrung</w:t>
      </w:r>
      <w:proofErr w:type="spellEnd"/>
      <w:r w:rsidRPr="00910CAC">
        <w:t xml:space="preserve">», in </w:t>
      </w:r>
      <w:r w:rsidRPr="00910CAC">
        <w:rPr>
          <w:smallCaps/>
        </w:rPr>
        <w:t xml:space="preserve">L. </w:t>
      </w:r>
      <w:proofErr w:type="spellStart"/>
      <w:r w:rsidRPr="00910CAC">
        <w:rPr>
          <w:smallCaps/>
        </w:rPr>
        <w:t>Boeve</w:t>
      </w:r>
      <w:proofErr w:type="spellEnd"/>
      <w:r w:rsidRPr="00910CAC">
        <w:rPr>
          <w:smallCaps/>
        </w:rPr>
        <w:t xml:space="preserve"> – S. van </w:t>
      </w:r>
      <w:proofErr w:type="spellStart"/>
      <w:r w:rsidRPr="00910CAC">
        <w:rPr>
          <w:smallCaps/>
        </w:rPr>
        <w:t>den</w:t>
      </w:r>
      <w:proofErr w:type="spellEnd"/>
      <w:r w:rsidRPr="00910CAC">
        <w:rPr>
          <w:smallCaps/>
        </w:rPr>
        <w:t xml:space="preserve"> </w:t>
      </w:r>
      <w:proofErr w:type="spellStart"/>
      <w:r w:rsidRPr="00910CAC">
        <w:rPr>
          <w:smallCaps/>
        </w:rPr>
        <w:t>Bossche</w:t>
      </w:r>
      <w:proofErr w:type="spellEnd"/>
      <w:r w:rsidRPr="00910CAC">
        <w:t xml:space="preserve"> (ed), </w:t>
      </w:r>
      <w:proofErr w:type="spellStart"/>
      <w:r w:rsidRPr="00910CAC">
        <w:rPr>
          <w:i/>
        </w:rPr>
        <w:t>Religious</w:t>
      </w:r>
      <w:proofErr w:type="spellEnd"/>
      <w:r w:rsidRPr="00910CAC">
        <w:rPr>
          <w:i/>
        </w:rPr>
        <w:t xml:space="preserve"> Experience and </w:t>
      </w:r>
      <w:proofErr w:type="spellStart"/>
      <w:r w:rsidRPr="00910CAC">
        <w:rPr>
          <w:i/>
        </w:rPr>
        <w:t>Contemporary</w:t>
      </w:r>
      <w:proofErr w:type="spellEnd"/>
      <w:r w:rsidRPr="00910CAC">
        <w:rPr>
          <w:i/>
        </w:rPr>
        <w:t xml:space="preserve"> </w:t>
      </w:r>
      <w:proofErr w:type="spellStart"/>
      <w:r w:rsidRPr="00910CAC">
        <w:rPr>
          <w:i/>
        </w:rPr>
        <w:t>theological</w:t>
      </w:r>
      <w:proofErr w:type="spellEnd"/>
      <w:r w:rsidRPr="00910CAC">
        <w:rPr>
          <w:i/>
        </w:rPr>
        <w:t xml:space="preserve"> </w:t>
      </w:r>
      <w:proofErr w:type="spellStart"/>
      <w:r w:rsidRPr="00910CAC">
        <w:rPr>
          <w:i/>
        </w:rPr>
        <w:t>Epistemology</w:t>
      </w:r>
      <w:proofErr w:type="spellEnd"/>
      <w:r w:rsidRPr="00910CAC">
        <w:t xml:space="preserve">, </w:t>
      </w:r>
      <w:proofErr w:type="spellStart"/>
      <w:r w:rsidRPr="00910CAC">
        <w:t>Leuven</w:t>
      </w:r>
      <w:proofErr w:type="spellEnd"/>
      <w:r w:rsidRPr="00910CAC">
        <w:t xml:space="preserve">, </w:t>
      </w:r>
      <w:proofErr w:type="spellStart"/>
      <w:r w:rsidRPr="00910CAC">
        <w:t>Leuven</w:t>
      </w:r>
      <w:proofErr w:type="spellEnd"/>
      <w:r w:rsidRPr="00910CAC">
        <w:t xml:space="preserve"> </w:t>
      </w:r>
      <w:proofErr w:type="spellStart"/>
      <w:r w:rsidRPr="00910CAC">
        <w:t>University</w:t>
      </w:r>
      <w:proofErr w:type="spellEnd"/>
      <w:r w:rsidRPr="00910CAC">
        <w:t xml:space="preserve"> Press, 2005, pp. 41-</w:t>
      </w:r>
      <w:smartTag w:uri="urn:schemas-microsoft-com:office:smarttags" w:element="metricconverter">
        <w:smartTagPr>
          <w:attr w:name="ProductID" w:val="51, in"/>
        </w:smartTagPr>
        <w:r w:rsidRPr="00910CAC">
          <w:t>51, in</w:t>
        </w:r>
      </w:smartTag>
      <w:r w:rsidRPr="00910CAC">
        <w:t xml:space="preserve"> cui si precisa la differenza terminologica in ambito tedesco tra sperimentare-</w:t>
      </w:r>
      <w:r w:rsidRPr="00910CAC">
        <w:rPr>
          <w:i/>
        </w:rPr>
        <w:t>Erlebnis</w:t>
      </w:r>
      <w:r w:rsidRPr="00910CAC">
        <w:t xml:space="preserve"> e fare esperienza-</w:t>
      </w:r>
      <w:proofErr w:type="spellStart"/>
      <w:r w:rsidRPr="00910CAC">
        <w:rPr>
          <w:i/>
        </w:rPr>
        <w:t>Erfahrung</w:t>
      </w:r>
      <w:proofErr w:type="spellEnd"/>
      <w:r w:rsidRPr="00910CA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807CA"/>
    <w:multiLevelType w:val="hybridMultilevel"/>
    <w:tmpl w:val="09A8D70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E7"/>
    <w:rsid w:val="001045FD"/>
    <w:rsid w:val="001836E7"/>
    <w:rsid w:val="001F5D4A"/>
    <w:rsid w:val="002F2C9F"/>
    <w:rsid w:val="00483AA8"/>
    <w:rsid w:val="00810EC4"/>
    <w:rsid w:val="00910CAC"/>
    <w:rsid w:val="00B26574"/>
    <w:rsid w:val="00B85501"/>
    <w:rsid w:val="00CB20F4"/>
    <w:rsid w:val="00E70709"/>
    <w:rsid w:val="00F12492"/>
    <w:rsid w:val="00F63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36E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836E7"/>
    <w:pPr>
      <w:jc w:val="both"/>
    </w:pPr>
    <w:rPr>
      <w:sz w:val="22"/>
      <w:szCs w:val="20"/>
    </w:rPr>
  </w:style>
  <w:style w:type="character" w:customStyle="1" w:styleId="CorpotestoCarattere">
    <w:name w:val="Corpo testo Carattere"/>
    <w:basedOn w:val="Carpredefinitoparagrafo"/>
    <w:link w:val="Corpotesto"/>
    <w:rsid w:val="001836E7"/>
    <w:rPr>
      <w:rFonts w:ascii="Times New Roman" w:eastAsia="Times New Roman" w:hAnsi="Times New Roman" w:cs="Times New Roman"/>
      <w:szCs w:val="20"/>
      <w:lang w:eastAsia="it-IT"/>
    </w:rPr>
  </w:style>
  <w:style w:type="paragraph" w:styleId="Testonotaapidipagina">
    <w:name w:val="footnote text"/>
    <w:basedOn w:val="Normale"/>
    <w:link w:val="TestonotaapidipaginaCarattere"/>
    <w:semiHidden/>
    <w:rsid w:val="001836E7"/>
    <w:rPr>
      <w:sz w:val="20"/>
      <w:szCs w:val="20"/>
    </w:rPr>
  </w:style>
  <w:style w:type="character" w:customStyle="1" w:styleId="TestonotaapidipaginaCarattere">
    <w:name w:val="Testo nota a piè di pagina Carattere"/>
    <w:basedOn w:val="Carpredefinitoparagrafo"/>
    <w:link w:val="Testonotaapidipagina"/>
    <w:semiHidden/>
    <w:rsid w:val="001836E7"/>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836E7"/>
    <w:rPr>
      <w:vertAlign w:val="superscript"/>
    </w:rPr>
  </w:style>
  <w:style w:type="paragraph" w:styleId="Citazione">
    <w:name w:val="Quote"/>
    <w:basedOn w:val="Normale"/>
    <w:next w:val="Corpotesto"/>
    <w:link w:val="CitazioneCarattere"/>
    <w:qFormat/>
    <w:rsid w:val="001836E7"/>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1836E7"/>
    <w:rPr>
      <w:rFonts w:ascii="Times New Roman" w:eastAsia="Times New Roman" w:hAnsi="Times New Roman" w:cs="Times New Roman"/>
      <w:sz w:val="25"/>
      <w:szCs w:val="20"/>
      <w:lang w:eastAsia="it-IT"/>
    </w:rPr>
  </w:style>
  <w:style w:type="table" w:styleId="Grigliatabella">
    <w:name w:val="Table Grid"/>
    <w:basedOn w:val="Tabellanormale"/>
    <w:rsid w:val="001836E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36E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836E7"/>
    <w:pPr>
      <w:jc w:val="both"/>
    </w:pPr>
    <w:rPr>
      <w:sz w:val="22"/>
      <w:szCs w:val="20"/>
    </w:rPr>
  </w:style>
  <w:style w:type="character" w:customStyle="1" w:styleId="CorpotestoCarattere">
    <w:name w:val="Corpo testo Carattere"/>
    <w:basedOn w:val="Carpredefinitoparagrafo"/>
    <w:link w:val="Corpotesto"/>
    <w:rsid w:val="001836E7"/>
    <w:rPr>
      <w:rFonts w:ascii="Times New Roman" w:eastAsia="Times New Roman" w:hAnsi="Times New Roman" w:cs="Times New Roman"/>
      <w:szCs w:val="20"/>
      <w:lang w:eastAsia="it-IT"/>
    </w:rPr>
  </w:style>
  <w:style w:type="paragraph" w:styleId="Testonotaapidipagina">
    <w:name w:val="footnote text"/>
    <w:basedOn w:val="Normale"/>
    <w:link w:val="TestonotaapidipaginaCarattere"/>
    <w:semiHidden/>
    <w:rsid w:val="001836E7"/>
    <w:rPr>
      <w:sz w:val="20"/>
      <w:szCs w:val="20"/>
    </w:rPr>
  </w:style>
  <w:style w:type="character" w:customStyle="1" w:styleId="TestonotaapidipaginaCarattere">
    <w:name w:val="Testo nota a piè di pagina Carattere"/>
    <w:basedOn w:val="Carpredefinitoparagrafo"/>
    <w:link w:val="Testonotaapidipagina"/>
    <w:semiHidden/>
    <w:rsid w:val="001836E7"/>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1836E7"/>
    <w:rPr>
      <w:vertAlign w:val="superscript"/>
    </w:rPr>
  </w:style>
  <w:style w:type="paragraph" w:styleId="Citazione">
    <w:name w:val="Quote"/>
    <w:basedOn w:val="Normale"/>
    <w:next w:val="Corpotesto"/>
    <w:link w:val="CitazioneCarattere"/>
    <w:qFormat/>
    <w:rsid w:val="001836E7"/>
    <w:pPr>
      <w:tabs>
        <w:tab w:val="right" w:pos="284"/>
      </w:tabs>
      <w:spacing w:before="180" w:after="180" w:line="250" w:lineRule="exact"/>
      <w:ind w:left="284"/>
      <w:jc w:val="both"/>
    </w:pPr>
    <w:rPr>
      <w:sz w:val="25"/>
      <w:szCs w:val="20"/>
    </w:rPr>
  </w:style>
  <w:style w:type="character" w:customStyle="1" w:styleId="CitazioneCarattere">
    <w:name w:val="Citazione Carattere"/>
    <w:basedOn w:val="Carpredefinitoparagrafo"/>
    <w:link w:val="Citazione"/>
    <w:rsid w:val="001836E7"/>
    <w:rPr>
      <w:rFonts w:ascii="Times New Roman" w:eastAsia="Times New Roman" w:hAnsi="Times New Roman" w:cs="Times New Roman"/>
      <w:sz w:val="25"/>
      <w:szCs w:val="20"/>
      <w:lang w:eastAsia="it-IT"/>
    </w:rPr>
  </w:style>
  <w:style w:type="table" w:styleId="Grigliatabella">
    <w:name w:val="Table Grid"/>
    <w:basedOn w:val="Tabellanormale"/>
    <w:rsid w:val="001836E7"/>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15</Pages>
  <Words>9028</Words>
  <Characters>51463</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6</cp:revision>
  <dcterms:created xsi:type="dcterms:W3CDTF">2024-04-09T14:00:00Z</dcterms:created>
  <dcterms:modified xsi:type="dcterms:W3CDTF">2024-04-10T06:22:00Z</dcterms:modified>
</cp:coreProperties>
</file>