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936" w:rsidRPr="006777D9" w:rsidRDefault="006777D9" w:rsidP="006777D9">
      <w:pPr>
        <w:spacing w:after="0" w:line="240" w:lineRule="auto"/>
        <w:jc w:val="center"/>
        <w:rPr>
          <w:rFonts w:ascii="Times New Roman" w:hAnsi="Times New Roman" w:cs="Times New Roman"/>
          <w:sz w:val="28"/>
          <w:szCs w:val="28"/>
        </w:rPr>
      </w:pPr>
      <w:r w:rsidRPr="006777D9">
        <w:rPr>
          <w:rFonts w:ascii="Times New Roman" w:hAnsi="Times New Roman" w:cs="Times New Roman"/>
          <w:sz w:val="28"/>
          <w:szCs w:val="28"/>
        </w:rPr>
        <w:t>Risorse e limiti di una Teologia delle Religioni</w:t>
      </w:r>
    </w:p>
    <w:p w:rsidR="006777D9" w:rsidRPr="006777D9" w:rsidRDefault="006777D9" w:rsidP="006777D9">
      <w:pPr>
        <w:spacing w:after="0" w:line="240" w:lineRule="auto"/>
        <w:jc w:val="center"/>
        <w:rPr>
          <w:rFonts w:ascii="Times New Roman" w:hAnsi="Times New Roman" w:cs="Times New Roman"/>
          <w:i/>
          <w:sz w:val="24"/>
          <w:szCs w:val="24"/>
        </w:rPr>
      </w:pPr>
      <w:r w:rsidRPr="006777D9">
        <w:rPr>
          <w:rFonts w:ascii="Times New Roman" w:hAnsi="Times New Roman" w:cs="Times New Roman"/>
          <w:i/>
          <w:sz w:val="24"/>
          <w:szCs w:val="24"/>
        </w:rPr>
        <w:t>Considerazioni a partire da un confronto con le scienze delle religioni</w:t>
      </w:r>
    </w:p>
    <w:p w:rsidR="006777D9" w:rsidRDefault="006777D9" w:rsidP="006777D9">
      <w:pPr>
        <w:spacing w:after="0" w:line="240" w:lineRule="auto"/>
        <w:jc w:val="both"/>
        <w:rPr>
          <w:rFonts w:ascii="Times New Roman" w:hAnsi="Times New Roman" w:cs="Times New Roman"/>
          <w:sz w:val="24"/>
          <w:szCs w:val="24"/>
        </w:rPr>
      </w:pPr>
    </w:p>
    <w:p w:rsidR="006777D9" w:rsidRPr="006777D9" w:rsidRDefault="006777D9" w:rsidP="00677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La svolta recente</w:t>
      </w:r>
      <w:r w:rsidR="00DE23AF">
        <w:rPr>
          <w:rFonts w:ascii="Times New Roman" w:hAnsi="Times New Roman" w:cs="Times New Roman"/>
          <w:sz w:val="24"/>
          <w:szCs w:val="24"/>
        </w:rPr>
        <w:t xml:space="preserve"> della Teologia delle Religioni</w:t>
      </w:r>
      <w:r>
        <w:rPr>
          <w:rFonts w:ascii="Times New Roman" w:hAnsi="Times New Roman" w:cs="Times New Roman"/>
          <w:sz w:val="24"/>
          <w:szCs w:val="24"/>
        </w:rPr>
        <w:t>: dalla sfida del pluralismo al paradigma post-teista “oltre le religioni”.</w:t>
      </w:r>
      <w:r w:rsidR="00DE23AF">
        <w:rPr>
          <w:rFonts w:ascii="Times New Roman" w:hAnsi="Times New Roman" w:cs="Times New Roman"/>
          <w:sz w:val="24"/>
          <w:szCs w:val="24"/>
        </w:rPr>
        <w:t xml:space="preserve"> </w:t>
      </w:r>
    </w:p>
    <w:p w:rsidR="007644A5" w:rsidRDefault="007644A5" w:rsidP="006777D9">
      <w:pPr>
        <w:spacing w:after="0" w:line="240" w:lineRule="auto"/>
        <w:jc w:val="both"/>
        <w:rPr>
          <w:rFonts w:ascii="Times New Roman" w:hAnsi="Times New Roman" w:cs="Times New Roman"/>
          <w:sz w:val="24"/>
          <w:szCs w:val="24"/>
        </w:rPr>
      </w:pPr>
    </w:p>
    <w:p w:rsidR="006777D9" w:rsidRDefault="006777D9" w:rsidP="00677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DE23AF">
        <w:rPr>
          <w:rFonts w:ascii="Times New Roman" w:hAnsi="Times New Roman" w:cs="Times New Roman"/>
          <w:sz w:val="24"/>
          <w:szCs w:val="24"/>
        </w:rPr>
        <w:t>La Teologia delle Religioni e l’auto-comprensione del cristianesimo tra fede e religione.</w:t>
      </w:r>
    </w:p>
    <w:p w:rsidR="007644A5" w:rsidRDefault="007644A5" w:rsidP="006777D9">
      <w:pPr>
        <w:spacing w:after="0" w:line="240" w:lineRule="auto"/>
        <w:jc w:val="both"/>
        <w:rPr>
          <w:rFonts w:ascii="Times New Roman" w:hAnsi="Times New Roman" w:cs="Times New Roman"/>
          <w:sz w:val="24"/>
          <w:szCs w:val="24"/>
        </w:rPr>
      </w:pPr>
    </w:p>
    <w:p w:rsidR="004449B9" w:rsidRDefault="004449B9" w:rsidP="00677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DE23AF">
        <w:rPr>
          <w:rFonts w:ascii="Times New Roman" w:hAnsi="Times New Roman" w:cs="Times New Roman"/>
          <w:sz w:val="24"/>
          <w:szCs w:val="24"/>
        </w:rPr>
        <w:t>Alla ricerca di una definizione teologica della religione.</w:t>
      </w:r>
    </w:p>
    <w:p w:rsidR="007644A5" w:rsidRDefault="007644A5" w:rsidP="006777D9">
      <w:pPr>
        <w:spacing w:after="0" w:line="240" w:lineRule="auto"/>
        <w:jc w:val="both"/>
        <w:rPr>
          <w:rFonts w:ascii="Times New Roman" w:hAnsi="Times New Roman" w:cs="Times New Roman"/>
          <w:sz w:val="24"/>
          <w:szCs w:val="24"/>
        </w:rPr>
      </w:pPr>
    </w:p>
    <w:p w:rsidR="00DE23AF" w:rsidRDefault="00DE23AF" w:rsidP="00677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La sfida del pluralismo e le dimensioni dell’esperienza religiosa tra relativismo e fondamentalismo.</w:t>
      </w:r>
    </w:p>
    <w:p w:rsidR="007644A5" w:rsidRDefault="007644A5" w:rsidP="006777D9">
      <w:pPr>
        <w:spacing w:after="0" w:line="240" w:lineRule="auto"/>
        <w:jc w:val="both"/>
        <w:rPr>
          <w:rFonts w:ascii="Times New Roman" w:hAnsi="Times New Roman" w:cs="Times New Roman"/>
          <w:sz w:val="24"/>
          <w:szCs w:val="24"/>
        </w:rPr>
      </w:pPr>
    </w:p>
    <w:p w:rsidR="00DE23AF" w:rsidRDefault="00DE23AF" w:rsidP="00677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La genesi del fenomeno religioso: un confronto critico coi paradigmi recenti in dialogo con l’antropologia del sacro.</w:t>
      </w:r>
    </w:p>
    <w:p w:rsidR="007644A5" w:rsidRDefault="007644A5" w:rsidP="006777D9">
      <w:pPr>
        <w:spacing w:after="0" w:line="240" w:lineRule="auto"/>
        <w:jc w:val="both"/>
        <w:rPr>
          <w:rFonts w:ascii="Times New Roman" w:hAnsi="Times New Roman" w:cs="Times New Roman"/>
          <w:sz w:val="24"/>
          <w:szCs w:val="24"/>
        </w:rPr>
      </w:pPr>
    </w:p>
    <w:p w:rsidR="00DE23AF" w:rsidRDefault="00DE23AF" w:rsidP="00677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Le dimensioni del fenomeno religioso. il sacro e il simbolo nell’esperienza religiosa (da </w:t>
      </w:r>
      <w:proofErr w:type="spellStart"/>
      <w:r>
        <w:rPr>
          <w:rFonts w:ascii="Times New Roman" w:hAnsi="Times New Roman" w:cs="Times New Roman"/>
          <w:sz w:val="24"/>
          <w:szCs w:val="24"/>
        </w:rPr>
        <w:t>Mircea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Eliade</w:t>
      </w:r>
      <w:proofErr w:type="spellEnd"/>
      <w:r>
        <w:rPr>
          <w:rFonts w:ascii="Times New Roman" w:hAnsi="Times New Roman" w:cs="Times New Roman"/>
          <w:sz w:val="24"/>
          <w:szCs w:val="24"/>
        </w:rPr>
        <w:t xml:space="preserve"> a Julien Ries). </w:t>
      </w:r>
    </w:p>
    <w:p w:rsidR="007644A5" w:rsidRDefault="007644A5" w:rsidP="006777D9">
      <w:pPr>
        <w:spacing w:after="0" w:line="240" w:lineRule="auto"/>
        <w:jc w:val="both"/>
        <w:rPr>
          <w:rFonts w:ascii="Times New Roman" w:hAnsi="Times New Roman" w:cs="Times New Roman"/>
          <w:sz w:val="24"/>
          <w:szCs w:val="24"/>
        </w:rPr>
      </w:pPr>
    </w:p>
    <w:p w:rsidR="00DE23AF" w:rsidRDefault="00DE23AF" w:rsidP="00677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Il mito e il rito nelle religioni: recenti approcci al fenomeno</w:t>
      </w:r>
      <w:r w:rsidR="00473FE9">
        <w:rPr>
          <w:rFonts w:ascii="Times New Roman" w:hAnsi="Times New Roman" w:cs="Times New Roman"/>
          <w:sz w:val="24"/>
          <w:szCs w:val="24"/>
        </w:rPr>
        <w:t xml:space="preserve"> e suo significato.</w:t>
      </w:r>
    </w:p>
    <w:p w:rsidR="007644A5" w:rsidRDefault="007644A5" w:rsidP="006777D9">
      <w:pPr>
        <w:spacing w:after="0" w:line="240" w:lineRule="auto"/>
        <w:jc w:val="both"/>
        <w:rPr>
          <w:rFonts w:ascii="Times New Roman" w:hAnsi="Times New Roman" w:cs="Times New Roman"/>
          <w:sz w:val="24"/>
          <w:szCs w:val="24"/>
        </w:rPr>
      </w:pPr>
    </w:p>
    <w:p w:rsidR="00DE23AF" w:rsidRDefault="00DE23AF" w:rsidP="00677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Una rivisitazione dei modelli di Teologia delle Religioni: esclusivismo, </w:t>
      </w:r>
      <w:proofErr w:type="spellStart"/>
      <w:r>
        <w:rPr>
          <w:rFonts w:ascii="Times New Roman" w:hAnsi="Times New Roman" w:cs="Times New Roman"/>
          <w:sz w:val="24"/>
          <w:szCs w:val="24"/>
        </w:rPr>
        <w:t>inclusivismo</w:t>
      </w:r>
      <w:proofErr w:type="spellEnd"/>
      <w:r>
        <w:rPr>
          <w:rFonts w:ascii="Times New Roman" w:hAnsi="Times New Roman" w:cs="Times New Roman"/>
          <w:sz w:val="24"/>
          <w:szCs w:val="24"/>
        </w:rPr>
        <w:t xml:space="preserve"> e pluralismo.</w:t>
      </w:r>
    </w:p>
    <w:p w:rsidR="007644A5" w:rsidRDefault="007644A5" w:rsidP="006777D9">
      <w:pPr>
        <w:spacing w:after="0" w:line="240" w:lineRule="auto"/>
        <w:jc w:val="both"/>
        <w:rPr>
          <w:rFonts w:ascii="Times New Roman" w:hAnsi="Times New Roman" w:cs="Times New Roman"/>
          <w:sz w:val="24"/>
          <w:szCs w:val="24"/>
        </w:rPr>
      </w:pPr>
    </w:p>
    <w:p w:rsidR="00DE23AF" w:rsidRDefault="00DE23AF" w:rsidP="00677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L’esclusivismo e le sue dimensioni tra logica </w:t>
      </w:r>
      <w:proofErr w:type="spellStart"/>
      <w:r>
        <w:rPr>
          <w:rFonts w:ascii="Times New Roman" w:hAnsi="Times New Roman" w:cs="Times New Roman"/>
          <w:sz w:val="24"/>
          <w:szCs w:val="24"/>
        </w:rPr>
        <w:t>ecclesiocentrica</w:t>
      </w:r>
      <w:proofErr w:type="spellEnd"/>
      <w:r>
        <w:rPr>
          <w:rFonts w:ascii="Times New Roman" w:hAnsi="Times New Roman" w:cs="Times New Roman"/>
          <w:sz w:val="24"/>
          <w:szCs w:val="24"/>
        </w:rPr>
        <w:t xml:space="preserve"> e cristocentrismo.</w:t>
      </w:r>
    </w:p>
    <w:p w:rsidR="007644A5" w:rsidRDefault="007644A5" w:rsidP="006777D9">
      <w:pPr>
        <w:spacing w:after="0" w:line="240" w:lineRule="auto"/>
        <w:jc w:val="both"/>
        <w:rPr>
          <w:rFonts w:ascii="Times New Roman" w:hAnsi="Times New Roman" w:cs="Times New Roman"/>
          <w:sz w:val="24"/>
          <w:szCs w:val="24"/>
        </w:rPr>
      </w:pPr>
    </w:p>
    <w:p w:rsidR="00DE23AF" w:rsidRDefault="00DE23AF" w:rsidP="00677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Il modello </w:t>
      </w:r>
      <w:proofErr w:type="spellStart"/>
      <w:r>
        <w:rPr>
          <w:rFonts w:ascii="Times New Roman" w:hAnsi="Times New Roman" w:cs="Times New Roman"/>
          <w:sz w:val="24"/>
          <w:szCs w:val="24"/>
        </w:rPr>
        <w:t>inclusivista</w:t>
      </w:r>
      <w:proofErr w:type="spellEnd"/>
      <w:r>
        <w:rPr>
          <w:rFonts w:ascii="Times New Roman" w:hAnsi="Times New Roman" w:cs="Times New Roman"/>
          <w:sz w:val="24"/>
          <w:szCs w:val="24"/>
        </w:rPr>
        <w:t xml:space="preserve"> e la posizione del Magistero.</w:t>
      </w:r>
    </w:p>
    <w:p w:rsidR="007644A5" w:rsidRDefault="007644A5" w:rsidP="006777D9">
      <w:pPr>
        <w:spacing w:after="0" w:line="240" w:lineRule="auto"/>
        <w:jc w:val="both"/>
        <w:rPr>
          <w:rFonts w:ascii="Times New Roman" w:hAnsi="Times New Roman" w:cs="Times New Roman"/>
          <w:sz w:val="24"/>
          <w:szCs w:val="24"/>
        </w:rPr>
      </w:pPr>
    </w:p>
    <w:p w:rsidR="00DE23AF" w:rsidRDefault="00DE23AF" w:rsidP="006777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Il pluralismo nelle sue varie declinazioni.</w:t>
      </w:r>
    </w:p>
    <w:p w:rsidR="007644A5" w:rsidRDefault="007644A5" w:rsidP="006777D9">
      <w:pPr>
        <w:spacing w:after="0" w:line="240" w:lineRule="auto"/>
        <w:jc w:val="both"/>
        <w:rPr>
          <w:rFonts w:ascii="Times New Roman" w:hAnsi="Times New Roman" w:cs="Times New Roman"/>
          <w:sz w:val="24"/>
          <w:szCs w:val="24"/>
        </w:rPr>
      </w:pPr>
    </w:p>
    <w:p w:rsidR="00C62E2C" w:rsidRPr="00C62E2C" w:rsidRDefault="00C62E2C" w:rsidP="00C62E2C">
      <w:pPr>
        <w:spacing w:after="0" w:line="240" w:lineRule="auto"/>
        <w:jc w:val="both"/>
        <w:rPr>
          <w:rFonts w:ascii="Times New Roman" w:hAnsi="Times New Roman" w:cs="Times New Roman"/>
          <w:sz w:val="24"/>
          <w:szCs w:val="24"/>
        </w:rPr>
      </w:pPr>
      <w:r w:rsidRPr="00C62E2C">
        <w:rPr>
          <w:rFonts w:ascii="Times New Roman" w:hAnsi="Times New Roman" w:cs="Times New Roman"/>
          <w:smallCaps/>
          <w:sz w:val="24"/>
          <w:szCs w:val="24"/>
        </w:rPr>
        <w:t>Commissione Teologica Internazionale</w:t>
      </w:r>
      <w:r w:rsidRPr="00C62E2C">
        <w:rPr>
          <w:rFonts w:ascii="Times New Roman" w:hAnsi="Times New Roman" w:cs="Times New Roman"/>
          <w:sz w:val="24"/>
          <w:szCs w:val="24"/>
        </w:rPr>
        <w:t xml:space="preserve">, </w:t>
      </w:r>
      <w:r w:rsidRPr="00C62E2C">
        <w:rPr>
          <w:rFonts w:ascii="Times New Roman" w:hAnsi="Times New Roman" w:cs="Times New Roman"/>
          <w:i/>
          <w:iCs/>
          <w:sz w:val="24"/>
          <w:szCs w:val="24"/>
        </w:rPr>
        <w:t>Il cristianesimo e le religioni</w:t>
      </w:r>
      <w:r w:rsidRPr="00C62E2C">
        <w:rPr>
          <w:rFonts w:ascii="Times New Roman" w:hAnsi="Times New Roman" w:cs="Times New Roman"/>
          <w:sz w:val="24"/>
          <w:szCs w:val="24"/>
        </w:rPr>
        <w:t>, in «Regno Documenti» 3 (1997) 529-536</w:t>
      </w:r>
    </w:p>
    <w:p w:rsidR="00C62E2C" w:rsidRPr="00C62E2C" w:rsidRDefault="00C62E2C" w:rsidP="00C62E2C">
      <w:pPr>
        <w:spacing w:after="0" w:line="240" w:lineRule="auto"/>
        <w:jc w:val="both"/>
        <w:rPr>
          <w:rFonts w:ascii="Times New Roman" w:hAnsi="Times New Roman" w:cs="Times New Roman"/>
          <w:sz w:val="24"/>
          <w:szCs w:val="24"/>
        </w:rPr>
      </w:pPr>
      <w:r w:rsidRPr="00C62E2C">
        <w:rPr>
          <w:rFonts w:ascii="Times New Roman" w:hAnsi="Times New Roman" w:cs="Times New Roman"/>
          <w:smallCaps/>
          <w:sz w:val="24"/>
          <w:szCs w:val="24"/>
        </w:rPr>
        <w:t xml:space="preserve">Congregazione per </w:t>
      </w:r>
      <w:smartTag w:uri="urn:schemas-microsoft-com:office:smarttags" w:element="PersonName">
        <w:smartTagPr>
          <w:attr w:name="ProductID" w:val="LA DOTTRINA DELLA"/>
        </w:smartTagPr>
        <w:smartTag w:uri="urn:schemas-microsoft-com:office:smarttags" w:element="PersonName">
          <w:smartTagPr>
            <w:attr w:name="ProductID" w:val="la Dottrina"/>
          </w:smartTagPr>
          <w:r w:rsidRPr="00C62E2C">
            <w:rPr>
              <w:rFonts w:ascii="Times New Roman" w:hAnsi="Times New Roman" w:cs="Times New Roman"/>
              <w:smallCaps/>
              <w:sz w:val="24"/>
              <w:szCs w:val="24"/>
            </w:rPr>
            <w:t>la Dottrina</w:t>
          </w:r>
        </w:smartTag>
        <w:r w:rsidRPr="00C62E2C">
          <w:rPr>
            <w:rFonts w:ascii="Times New Roman" w:hAnsi="Times New Roman" w:cs="Times New Roman"/>
            <w:smallCaps/>
            <w:sz w:val="24"/>
            <w:szCs w:val="24"/>
          </w:rPr>
          <w:t xml:space="preserve"> della</w:t>
        </w:r>
      </w:smartTag>
      <w:r w:rsidRPr="00C62E2C">
        <w:rPr>
          <w:rFonts w:ascii="Times New Roman" w:hAnsi="Times New Roman" w:cs="Times New Roman"/>
          <w:smallCaps/>
          <w:sz w:val="24"/>
          <w:szCs w:val="24"/>
        </w:rPr>
        <w:t xml:space="preserve"> Fede</w:t>
      </w:r>
      <w:r w:rsidRPr="00C62E2C">
        <w:rPr>
          <w:rFonts w:ascii="Times New Roman" w:hAnsi="Times New Roman" w:cs="Times New Roman"/>
          <w:sz w:val="24"/>
          <w:szCs w:val="24"/>
        </w:rPr>
        <w:t xml:space="preserve">, </w:t>
      </w:r>
      <w:r w:rsidRPr="00C62E2C">
        <w:rPr>
          <w:rFonts w:ascii="Times New Roman" w:hAnsi="Times New Roman" w:cs="Times New Roman"/>
          <w:i/>
          <w:iCs/>
          <w:sz w:val="24"/>
          <w:szCs w:val="24"/>
        </w:rPr>
        <w:t xml:space="preserve">Dominus </w:t>
      </w:r>
      <w:proofErr w:type="spellStart"/>
      <w:r w:rsidRPr="00C62E2C">
        <w:rPr>
          <w:rFonts w:ascii="Times New Roman" w:hAnsi="Times New Roman" w:cs="Times New Roman"/>
          <w:i/>
          <w:iCs/>
          <w:sz w:val="24"/>
          <w:szCs w:val="24"/>
        </w:rPr>
        <w:t>Jesus</w:t>
      </w:r>
      <w:proofErr w:type="spellEnd"/>
      <w:r w:rsidRPr="00C62E2C">
        <w:rPr>
          <w:rFonts w:ascii="Times New Roman" w:hAnsi="Times New Roman" w:cs="Times New Roman"/>
          <w:sz w:val="24"/>
          <w:szCs w:val="24"/>
        </w:rPr>
        <w:t>, in «Regno Documenti» 17 (2000) 529-536</w:t>
      </w:r>
    </w:p>
    <w:p w:rsidR="00C62E2C" w:rsidRPr="00C62E2C" w:rsidRDefault="00C62E2C" w:rsidP="00C62E2C">
      <w:pPr>
        <w:spacing w:after="0" w:line="240" w:lineRule="auto"/>
        <w:jc w:val="both"/>
        <w:rPr>
          <w:rFonts w:ascii="Times New Roman" w:hAnsi="Times New Roman" w:cs="Times New Roman"/>
          <w:sz w:val="24"/>
          <w:szCs w:val="24"/>
        </w:rPr>
      </w:pPr>
      <w:r w:rsidRPr="00C62E2C">
        <w:rPr>
          <w:rFonts w:ascii="Times New Roman" w:hAnsi="Times New Roman" w:cs="Times New Roman"/>
          <w:smallCaps/>
          <w:sz w:val="24"/>
          <w:szCs w:val="24"/>
        </w:rPr>
        <w:t>Giovanni Paolo II</w:t>
      </w:r>
      <w:r w:rsidRPr="00C62E2C">
        <w:rPr>
          <w:rFonts w:ascii="Times New Roman" w:hAnsi="Times New Roman" w:cs="Times New Roman"/>
          <w:sz w:val="24"/>
          <w:szCs w:val="24"/>
        </w:rPr>
        <w:t xml:space="preserve">, </w:t>
      </w:r>
      <w:proofErr w:type="spellStart"/>
      <w:r w:rsidRPr="00C62E2C">
        <w:rPr>
          <w:rFonts w:ascii="Times New Roman" w:hAnsi="Times New Roman" w:cs="Times New Roman"/>
          <w:i/>
          <w:iCs/>
          <w:sz w:val="24"/>
          <w:szCs w:val="24"/>
        </w:rPr>
        <w:t>Redemptoris</w:t>
      </w:r>
      <w:proofErr w:type="spellEnd"/>
      <w:r w:rsidRPr="00C62E2C">
        <w:rPr>
          <w:rFonts w:ascii="Times New Roman" w:hAnsi="Times New Roman" w:cs="Times New Roman"/>
          <w:i/>
          <w:iCs/>
          <w:sz w:val="24"/>
          <w:szCs w:val="24"/>
        </w:rPr>
        <w:t xml:space="preserve"> </w:t>
      </w:r>
      <w:proofErr w:type="spellStart"/>
      <w:r w:rsidRPr="00C62E2C">
        <w:rPr>
          <w:rFonts w:ascii="Times New Roman" w:hAnsi="Times New Roman" w:cs="Times New Roman"/>
          <w:i/>
          <w:iCs/>
          <w:sz w:val="24"/>
          <w:szCs w:val="24"/>
        </w:rPr>
        <w:t>Missio</w:t>
      </w:r>
      <w:proofErr w:type="spellEnd"/>
      <w:r w:rsidRPr="00C62E2C">
        <w:rPr>
          <w:rFonts w:ascii="Times New Roman" w:hAnsi="Times New Roman" w:cs="Times New Roman"/>
          <w:sz w:val="24"/>
          <w:szCs w:val="24"/>
        </w:rPr>
        <w:t>, in «Regno Documenti» 5 (1991) 129-155</w:t>
      </w:r>
    </w:p>
    <w:p w:rsidR="00C62E2C" w:rsidRPr="00C62E2C" w:rsidRDefault="00C62E2C" w:rsidP="00C62E2C">
      <w:pPr>
        <w:spacing w:after="0" w:line="240" w:lineRule="auto"/>
        <w:jc w:val="both"/>
        <w:rPr>
          <w:rFonts w:ascii="Times New Roman" w:hAnsi="Times New Roman" w:cs="Times New Roman"/>
          <w:sz w:val="24"/>
          <w:szCs w:val="24"/>
        </w:rPr>
      </w:pPr>
      <w:r w:rsidRPr="00C62E2C">
        <w:rPr>
          <w:rFonts w:ascii="Times New Roman" w:hAnsi="Times New Roman" w:cs="Times New Roman"/>
          <w:smallCaps/>
          <w:sz w:val="24"/>
          <w:szCs w:val="24"/>
        </w:rPr>
        <w:t>Pontificio Consiglio per il Dialogo interreligioso e Congregazione Per l’Evangelizzazione dei Popoli</w:t>
      </w:r>
      <w:r w:rsidRPr="00C62E2C">
        <w:rPr>
          <w:rFonts w:ascii="Times New Roman" w:hAnsi="Times New Roman" w:cs="Times New Roman"/>
          <w:sz w:val="24"/>
          <w:szCs w:val="24"/>
        </w:rPr>
        <w:t xml:space="preserve">, </w:t>
      </w:r>
      <w:r w:rsidRPr="00C62E2C">
        <w:rPr>
          <w:rFonts w:ascii="Times New Roman" w:hAnsi="Times New Roman" w:cs="Times New Roman"/>
          <w:i/>
          <w:iCs/>
          <w:sz w:val="24"/>
          <w:szCs w:val="24"/>
        </w:rPr>
        <w:t>Dialogo e Annuncio</w:t>
      </w:r>
      <w:r w:rsidRPr="00C62E2C">
        <w:rPr>
          <w:rFonts w:ascii="Times New Roman" w:hAnsi="Times New Roman" w:cs="Times New Roman"/>
          <w:sz w:val="24"/>
          <w:szCs w:val="24"/>
        </w:rPr>
        <w:t>, in «Regno Documenti» 15 (1991) 464-477</w:t>
      </w:r>
    </w:p>
    <w:p w:rsidR="007644A5" w:rsidRPr="00C62E2C" w:rsidRDefault="00C62E2C" w:rsidP="00C62E2C">
      <w:pPr>
        <w:spacing w:after="0" w:line="240" w:lineRule="auto"/>
        <w:jc w:val="both"/>
        <w:rPr>
          <w:rFonts w:ascii="Times New Roman" w:hAnsi="Times New Roman" w:cs="Times New Roman"/>
          <w:sz w:val="24"/>
          <w:szCs w:val="24"/>
        </w:rPr>
      </w:pPr>
      <w:r w:rsidRPr="00C62E2C">
        <w:rPr>
          <w:rFonts w:ascii="Times New Roman" w:hAnsi="Times New Roman" w:cs="Times New Roman"/>
          <w:smallCaps/>
          <w:sz w:val="24"/>
          <w:szCs w:val="24"/>
        </w:rPr>
        <w:t xml:space="preserve">Papa Francesco – </w:t>
      </w:r>
      <w:proofErr w:type="spellStart"/>
      <w:r w:rsidRPr="00C62E2C">
        <w:rPr>
          <w:rFonts w:ascii="Times New Roman" w:hAnsi="Times New Roman" w:cs="Times New Roman"/>
          <w:smallCaps/>
          <w:sz w:val="24"/>
          <w:szCs w:val="24"/>
        </w:rPr>
        <w:t>Ahmad</w:t>
      </w:r>
      <w:proofErr w:type="spellEnd"/>
      <w:r w:rsidRPr="00C62E2C">
        <w:rPr>
          <w:rFonts w:ascii="Times New Roman" w:hAnsi="Times New Roman" w:cs="Times New Roman"/>
          <w:smallCaps/>
          <w:sz w:val="24"/>
          <w:szCs w:val="24"/>
        </w:rPr>
        <w:t xml:space="preserve"> Al-</w:t>
      </w:r>
      <w:proofErr w:type="spellStart"/>
      <w:r w:rsidRPr="00C62E2C">
        <w:rPr>
          <w:rFonts w:ascii="Times New Roman" w:hAnsi="Times New Roman" w:cs="Times New Roman"/>
          <w:smallCaps/>
          <w:sz w:val="24"/>
          <w:szCs w:val="24"/>
        </w:rPr>
        <w:t>Tayyed</w:t>
      </w:r>
      <w:proofErr w:type="spellEnd"/>
      <w:r>
        <w:rPr>
          <w:rFonts w:ascii="Times New Roman" w:hAnsi="Times New Roman" w:cs="Times New Roman"/>
          <w:sz w:val="24"/>
          <w:szCs w:val="24"/>
        </w:rPr>
        <w:t xml:space="preserve">, </w:t>
      </w:r>
      <w:r w:rsidRPr="00C62E2C">
        <w:rPr>
          <w:rFonts w:ascii="Times New Roman" w:hAnsi="Times New Roman" w:cs="Times New Roman"/>
          <w:i/>
          <w:sz w:val="24"/>
          <w:szCs w:val="24"/>
        </w:rPr>
        <w:t>Documento sulla Fratellanza Umana per la pace mondiale e la convivenza comune (4 febbraio 2019)</w:t>
      </w:r>
      <w:r>
        <w:rPr>
          <w:rFonts w:ascii="Times New Roman" w:hAnsi="Times New Roman" w:cs="Times New Roman"/>
          <w:sz w:val="24"/>
          <w:szCs w:val="24"/>
        </w:rPr>
        <w:t>, paoline, Milano 2019.</w:t>
      </w:r>
    </w:p>
    <w:p w:rsidR="007644A5" w:rsidRDefault="007644A5" w:rsidP="007644A5">
      <w:pPr>
        <w:spacing w:after="0" w:line="240" w:lineRule="auto"/>
        <w:jc w:val="center"/>
        <w:rPr>
          <w:rFonts w:ascii="Times New Roman" w:hAnsi="Times New Roman" w:cs="Times New Roman"/>
          <w:sz w:val="24"/>
          <w:szCs w:val="24"/>
        </w:rPr>
      </w:pPr>
    </w:p>
    <w:p w:rsidR="007644A5" w:rsidRPr="007644A5" w:rsidRDefault="007644A5" w:rsidP="007644A5">
      <w:pPr>
        <w:spacing w:after="0" w:line="240" w:lineRule="auto"/>
        <w:jc w:val="center"/>
        <w:rPr>
          <w:rFonts w:ascii="Times New Roman" w:hAnsi="Times New Roman" w:cs="Times New Roman"/>
          <w:sz w:val="24"/>
          <w:szCs w:val="24"/>
        </w:rPr>
      </w:pPr>
      <w:r w:rsidRPr="007644A5">
        <w:rPr>
          <w:rFonts w:ascii="Times New Roman" w:hAnsi="Times New Roman" w:cs="Times New Roman"/>
          <w:i/>
          <w:sz w:val="24"/>
          <w:szCs w:val="24"/>
        </w:rPr>
        <w:t xml:space="preserve">Il giudizio della </w:t>
      </w:r>
      <w:r w:rsidRPr="007644A5">
        <w:rPr>
          <w:rFonts w:ascii="Times New Roman" w:hAnsi="Times New Roman" w:cs="Times New Roman"/>
          <w:i/>
          <w:smallCaps/>
          <w:sz w:val="24"/>
          <w:szCs w:val="24"/>
        </w:rPr>
        <w:t>Commissione Teologica Internazionale</w:t>
      </w:r>
      <w:r w:rsidRPr="007644A5">
        <w:rPr>
          <w:rFonts w:ascii="Times New Roman" w:hAnsi="Times New Roman" w:cs="Times New Roman"/>
          <w:i/>
          <w:sz w:val="24"/>
          <w:szCs w:val="24"/>
        </w:rPr>
        <w:t xml:space="preserve"> (1997)</w:t>
      </w:r>
    </w:p>
    <w:p w:rsidR="007644A5" w:rsidRDefault="007644A5" w:rsidP="007644A5">
      <w:pPr>
        <w:spacing w:after="0" w:line="240" w:lineRule="auto"/>
        <w:jc w:val="both"/>
        <w:rPr>
          <w:rFonts w:ascii="Times New Roman" w:hAnsi="Times New Roman" w:cs="Times New Roman"/>
          <w:sz w:val="24"/>
          <w:szCs w:val="24"/>
        </w:rPr>
      </w:pPr>
    </w:p>
    <w:p w:rsidR="007644A5" w:rsidRPr="007644A5" w:rsidRDefault="007644A5" w:rsidP="007644A5">
      <w:pPr>
        <w:spacing w:after="0" w:line="240" w:lineRule="auto"/>
        <w:jc w:val="both"/>
        <w:rPr>
          <w:rFonts w:ascii="Times New Roman" w:hAnsi="Times New Roman" w:cs="Times New Roman"/>
          <w:sz w:val="24"/>
          <w:szCs w:val="24"/>
        </w:rPr>
      </w:pPr>
      <w:r w:rsidRPr="007644A5">
        <w:rPr>
          <w:rFonts w:ascii="Times New Roman" w:hAnsi="Times New Roman" w:cs="Times New Roman"/>
          <w:sz w:val="24"/>
          <w:szCs w:val="24"/>
        </w:rPr>
        <w:t xml:space="preserve">1. </w:t>
      </w:r>
      <w:r w:rsidRPr="007644A5">
        <w:rPr>
          <w:rFonts w:ascii="Times New Roman" w:hAnsi="Times New Roman" w:cs="Times New Roman"/>
          <w:i/>
          <w:sz w:val="24"/>
          <w:szCs w:val="24"/>
        </w:rPr>
        <w:t>Il mutato contesto epocale e il contributo della Teologia delle Religioni</w:t>
      </w:r>
      <w:r w:rsidRPr="007644A5">
        <w:rPr>
          <w:rFonts w:ascii="Times New Roman" w:hAnsi="Times New Roman" w:cs="Times New Roman"/>
          <w:sz w:val="24"/>
          <w:szCs w:val="24"/>
        </w:rPr>
        <w:t xml:space="preserve"> (= </w:t>
      </w:r>
      <w:proofErr w:type="spellStart"/>
      <w:r w:rsidRPr="007644A5">
        <w:rPr>
          <w:rFonts w:ascii="Times New Roman" w:hAnsi="Times New Roman" w:cs="Times New Roman"/>
          <w:sz w:val="24"/>
          <w:szCs w:val="24"/>
        </w:rPr>
        <w:t>TdR</w:t>
      </w:r>
      <w:proofErr w:type="spellEnd"/>
      <w:r w:rsidRPr="007644A5">
        <w:rPr>
          <w:rFonts w:ascii="Times New Roman" w:hAnsi="Times New Roman" w:cs="Times New Roman"/>
          <w:sz w:val="24"/>
          <w:szCs w:val="24"/>
        </w:rPr>
        <w:t>): la questione della relazione tra le religioni in un contesto pluralista-multietnico.</w:t>
      </w:r>
    </w:p>
    <w:p w:rsidR="007644A5" w:rsidRDefault="007644A5" w:rsidP="007644A5">
      <w:pPr>
        <w:spacing w:after="0" w:line="240" w:lineRule="auto"/>
        <w:jc w:val="both"/>
        <w:rPr>
          <w:rFonts w:ascii="Times New Roman" w:hAnsi="Times New Roman" w:cs="Times New Roman"/>
          <w:sz w:val="24"/>
          <w:szCs w:val="24"/>
        </w:rPr>
      </w:pPr>
    </w:p>
    <w:p w:rsidR="007644A5" w:rsidRPr="007644A5" w:rsidRDefault="007644A5" w:rsidP="007644A5">
      <w:pPr>
        <w:spacing w:after="0" w:line="240" w:lineRule="auto"/>
        <w:jc w:val="both"/>
        <w:rPr>
          <w:rFonts w:ascii="Times New Roman" w:hAnsi="Times New Roman" w:cs="Times New Roman"/>
          <w:sz w:val="24"/>
          <w:szCs w:val="24"/>
        </w:rPr>
      </w:pPr>
      <w:r w:rsidRPr="007644A5">
        <w:rPr>
          <w:rFonts w:ascii="Times New Roman" w:hAnsi="Times New Roman" w:cs="Times New Roman"/>
          <w:sz w:val="24"/>
          <w:szCs w:val="24"/>
        </w:rPr>
        <w:t xml:space="preserve">«La questione della relazione tra le religioni va acquistando un’importanza sempre maggiore» (n. 1). La necessità di una </w:t>
      </w:r>
      <w:proofErr w:type="spellStart"/>
      <w:r w:rsidRPr="007644A5">
        <w:rPr>
          <w:rFonts w:ascii="Times New Roman" w:hAnsi="Times New Roman" w:cs="Times New Roman"/>
          <w:sz w:val="24"/>
          <w:szCs w:val="24"/>
        </w:rPr>
        <w:t>TdR</w:t>
      </w:r>
      <w:proofErr w:type="spellEnd"/>
      <w:r w:rsidRPr="007644A5">
        <w:rPr>
          <w:rFonts w:ascii="Times New Roman" w:hAnsi="Times New Roman" w:cs="Times New Roman"/>
          <w:sz w:val="24"/>
          <w:szCs w:val="24"/>
        </w:rPr>
        <w:t xml:space="preserve"> è legata anzitutto a un dato epocale che orienta e condiziona la ricerca. Non si tratta di indagare sull’esperienza religiosa di altri o di determinare il valore salvifico di altre esperienze di Dio. La domanda è proprio sulla “relazione” tra le diverse religioni. Si presuppone l’esistenza di una pluralità di esperienze religiose e sulle loro buone ragioni. Ci si interroga sui loro rapporti. Va notato che nessuno dei fattori indicati all’origine di questa situazione (informazioni, </w:t>
      </w:r>
      <w:r w:rsidRPr="007644A5">
        <w:rPr>
          <w:rFonts w:ascii="Times New Roman" w:hAnsi="Times New Roman" w:cs="Times New Roman"/>
          <w:sz w:val="24"/>
          <w:szCs w:val="24"/>
        </w:rPr>
        <w:lastRenderedPageBreak/>
        <w:t xml:space="preserve">migrazioni, globalizzazione tecnologico-industriale) è intra-religioso e quindi teologico. Ciò significa che la nuova situazione che pone la domanda non è maturata all’interno dello sviluppo delle religioni (o di una religione), ma è determinata da altri fattori. Ora, questo contesto che pone l’esigenza di rivisitare il senso delle religioni e il loro rapporto è dominato dalla cultura tecnologica occidentale, che ha collocato, nel suo sistema di valori e nella sua organizzazione sociale di riferimento, l’esperienza religiosa in un certo ambito ben delimitato. Come annota giustamente </w:t>
      </w:r>
      <w:r w:rsidRPr="007644A5">
        <w:rPr>
          <w:rFonts w:ascii="Times New Roman" w:hAnsi="Times New Roman" w:cs="Times New Roman"/>
          <w:i/>
          <w:sz w:val="24"/>
          <w:szCs w:val="24"/>
        </w:rPr>
        <w:t>G. Angelini</w:t>
      </w:r>
      <w:r w:rsidRPr="007644A5">
        <w:rPr>
          <w:rFonts w:ascii="Times New Roman" w:hAnsi="Times New Roman" w:cs="Times New Roman"/>
          <w:sz w:val="24"/>
          <w:szCs w:val="24"/>
        </w:rPr>
        <w:t>:</w:t>
      </w:r>
    </w:p>
    <w:p w:rsidR="007644A5" w:rsidRDefault="007644A5" w:rsidP="007644A5">
      <w:pPr>
        <w:pStyle w:val="Citazione"/>
        <w:spacing w:before="0" w:after="0" w:line="240" w:lineRule="auto"/>
        <w:rPr>
          <w:sz w:val="22"/>
          <w:szCs w:val="22"/>
        </w:rPr>
      </w:pPr>
      <w:r w:rsidRPr="007644A5">
        <w:rPr>
          <w:sz w:val="22"/>
          <w:szCs w:val="22"/>
        </w:rPr>
        <w:t>E’ accaduto soltanto in epoca moderna che, nel quadro del generale processo di differenziazione dell’unico sistema della cultura in sottosistemi parziali, “religione” cominciasse ad assumere il significato preminente di sistema sociale parziale, distinto dalla morale, dal diri</w:t>
      </w:r>
      <w:r>
        <w:rPr>
          <w:sz w:val="22"/>
          <w:szCs w:val="22"/>
        </w:rPr>
        <w:t>tto, dalla politica, e così via</w:t>
      </w:r>
      <w:r w:rsidRPr="007644A5">
        <w:rPr>
          <w:rStyle w:val="Rimandonotaapidipagina"/>
          <w:sz w:val="22"/>
          <w:szCs w:val="22"/>
        </w:rPr>
        <w:footnoteReference w:id="1"/>
      </w:r>
      <w:r w:rsidRPr="007644A5">
        <w:rPr>
          <w:sz w:val="22"/>
          <w:szCs w:val="22"/>
        </w:rPr>
        <w:t>.</w:t>
      </w:r>
    </w:p>
    <w:p w:rsidR="007644A5" w:rsidRPr="007644A5" w:rsidRDefault="007644A5" w:rsidP="007644A5">
      <w:pPr>
        <w:pStyle w:val="Corpotesto"/>
        <w:spacing w:after="0" w:line="240" w:lineRule="auto"/>
        <w:rPr>
          <w:lang w:eastAsia="it-IT"/>
        </w:rPr>
      </w:pPr>
    </w:p>
    <w:p w:rsidR="007644A5" w:rsidRPr="007644A5" w:rsidRDefault="007644A5" w:rsidP="007644A5">
      <w:pPr>
        <w:spacing w:after="0" w:line="240" w:lineRule="auto"/>
        <w:jc w:val="both"/>
        <w:rPr>
          <w:rFonts w:ascii="Times New Roman" w:hAnsi="Times New Roman" w:cs="Times New Roman"/>
          <w:sz w:val="24"/>
          <w:szCs w:val="24"/>
        </w:rPr>
      </w:pPr>
      <w:r w:rsidRPr="007644A5">
        <w:rPr>
          <w:rFonts w:ascii="Times New Roman" w:hAnsi="Times New Roman" w:cs="Times New Roman"/>
          <w:sz w:val="24"/>
          <w:szCs w:val="24"/>
        </w:rPr>
        <w:t xml:space="preserve">Dunque le religioni pongono un problema di relazione come </w:t>
      </w:r>
      <w:r w:rsidRPr="007644A5">
        <w:rPr>
          <w:rFonts w:ascii="Times New Roman" w:hAnsi="Times New Roman" w:cs="Times New Roman"/>
          <w:i/>
          <w:sz w:val="24"/>
          <w:szCs w:val="24"/>
        </w:rPr>
        <w:t>figure parziali del sistema culturale moderno</w:t>
      </w:r>
      <w:r w:rsidRPr="007644A5">
        <w:rPr>
          <w:rFonts w:ascii="Times New Roman" w:hAnsi="Times New Roman" w:cs="Times New Roman"/>
          <w:sz w:val="24"/>
          <w:szCs w:val="24"/>
        </w:rPr>
        <w:t>. Ciò implica due precisazioni importanti: (a) la questione non riguarda il rapporto tra esperienze religiose, tanto meno la verità di una religione, quanto piuttosto la pacifica convivenza di una pluralità di religioni; (b) l’importanza di chiarire il giudizio che il cristiano porta sulle altre religioni è funzionale alle esigenze di tolleranza pacifica inscritte nel sistema sociale globalizzato, che ha posto il problema. Ne deriva l’importanza del dialogo interreligioso: è un’urgenza inscritta nella necessità di convivere in un “villaggio globale”, che ha le sue esigenze di armonia al di là di tensioni e particolarismi:</w:t>
      </w:r>
    </w:p>
    <w:p w:rsidR="007644A5" w:rsidRPr="007644A5" w:rsidRDefault="007644A5" w:rsidP="007644A5">
      <w:pPr>
        <w:pStyle w:val="Citazione"/>
        <w:spacing w:before="0" w:after="0" w:line="240" w:lineRule="auto"/>
        <w:rPr>
          <w:sz w:val="22"/>
          <w:szCs w:val="22"/>
        </w:rPr>
      </w:pPr>
    </w:p>
    <w:p w:rsidR="007644A5" w:rsidRPr="007644A5" w:rsidRDefault="007644A5" w:rsidP="007644A5">
      <w:pPr>
        <w:pStyle w:val="Citazione"/>
        <w:spacing w:before="0" w:after="0" w:line="240" w:lineRule="auto"/>
        <w:rPr>
          <w:sz w:val="22"/>
          <w:szCs w:val="22"/>
        </w:rPr>
      </w:pPr>
      <w:r w:rsidRPr="007644A5">
        <w:rPr>
          <w:sz w:val="22"/>
          <w:szCs w:val="22"/>
        </w:rPr>
        <w:t>«Il cristianesimo non si tiene fuori né può rimanere al margine di tale incontro e del conseguente dialogo tra le religioni. Se queste sono state talvolta, e possono essere ancora, fattori di divisione e di conflitto tra i popoli, è auspicabile che nel mondo attuale appaiano agli occhi di tutti come elementi di pace e di unione. Il cristianesimo deve dare il suo contributo perché questo sia possibile» (n. 2)</w:t>
      </w:r>
      <w:r w:rsidRPr="007644A5">
        <w:rPr>
          <w:rStyle w:val="Rimandonotaapidipagina"/>
          <w:sz w:val="22"/>
          <w:szCs w:val="22"/>
        </w:rPr>
        <w:footnoteReference w:id="2"/>
      </w:r>
      <w:r w:rsidRPr="007644A5">
        <w:rPr>
          <w:sz w:val="22"/>
          <w:szCs w:val="22"/>
        </w:rPr>
        <w:t>.</w:t>
      </w:r>
    </w:p>
    <w:p w:rsidR="007644A5" w:rsidRPr="007644A5" w:rsidRDefault="007644A5" w:rsidP="007644A5">
      <w:pPr>
        <w:pStyle w:val="Corpotesto"/>
        <w:spacing w:after="0" w:line="240" w:lineRule="auto"/>
        <w:rPr>
          <w:lang w:eastAsia="it-IT"/>
        </w:rPr>
      </w:pPr>
    </w:p>
    <w:p w:rsidR="007644A5" w:rsidRPr="007644A5" w:rsidRDefault="007644A5" w:rsidP="007644A5">
      <w:pPr>
        <w:spacing w:after="0" w:line="240" w:lineRule="auto"/>
        <w:jc w:val="both"/>
        <w:rPr>
          <w:rFonts w:ascii="Times New Roman" w:hAnsi="Times New Roman" w:cs="Times New Roman"/>
          <w:sz w:val="24"/>
          <w:szCs w:val="24"/>
        </w:rPr>
      </w:pPr>
      <w:smartTag w:uri="urn:schemas-microsoft-com:office:smarttags" w:element="PersonName">
        <w:smartTagPr>
          <w:attr w:name="ProductID" w:val="La TdR"/>
        </w:smartTagPr>
        <w:r w:rsidRPr="007644A5">
          <w:rPr>
            <w:rFonts w:ascii="Times New Roman" w:hAnsi="Times New Roman" w:cs="Times New Roman"/>
            <w:sz w:val="24"/>
            <w:szCs w:val="24"/>
          </w:rPr>
          <w:t xml:space="preserve">La </w:t>
        </w:r>
        <w:proofErr w:type="spellStart"/>
        <w:r w:rsidRPr="007644A5">
          <w:rPr>
            <w:rFonts w:ascii="Times New Roman" w:hAnsi="Times New Roman" w:cs="Times New Roman"/>
            <w:sz w:val="24"/>
            <w:szCs w:val="24"/>
          </w:rPr>
          <w:t>TdR</w:t>
        </w:r>
      </w:smartTag>
      <w:proofErr w:type="spellEnd"/>
      <w:r w:rsidRPr="007644A5">
        <w:rPr>
          <w:rFonts w:ascii="Times New Roman" w:hAnsi="Times New Roman" w:cs="Times New Roman"/>
          <w:sz w:val="24"/>
          <w:szCs w:val="24"/>
        </w:rPr>
        <w:t xml:space="preserve"> deve quindi favorire una comprensione delle altre religioni in grado di propiziare relazioni pacifiche. Nessuna forma di intolleranza, disprezzo, presa di distanza è ammessa. Il problema è se la “questione della verità” non implichi di fatto forme di disprezzo dell’altro e quindi esclusione. In tal senso l’uomo moderno preferisce escludere la domanda sulla verità dall’esperienza religiosa. Una religione può essere significativa, utile, arricchente per chi la professa, ma non «vera o falsa». La verità è problema delle scienze</w:t>
      </w:r>
      <w:r w:rsidRPr="007644A5">
        <w:rPr>
          <w:rStyle w:val="Rimandonotaapidipagina"/>
          <w:rFonts w:ascii="Times New Roman" w:hAnsi="Times New Roman" w:cs="Times New Roman"/>
          <w:sz w:val="24"/>
          <w:szCs w:val="24"/>
        </w:rPr>
        <w:footnoteReference w:id="3"/>
      </w:r>
      <w:r w:rsidRPr="007644A5">
        <w:rPr>
          <w:rFonts w:ascii="Times New Roman" w:hAnsi="Times New Roman" w:cs="Times New Roman"/>
          <w:sz w:val="24"/>
          <w:szCs w:val="24"/>
        </w:rPr>
        <w:t xml:space="preserve">. Si possono già intuire le difficoltà di una simile posizione del problema e quindi i possibili rischi di una </w:t>
      </w:r>
      <w:proofErr w:type="spellStart"/>
      <w:r w:rsidRPr="007644A5">
        <w:rPr>
          <w:rFonts w:ascii="Times New Roman" w:hAnsi="Times New Roman" w:cs="Times New Roman"/>
          <w:sz w:val="24"/>
          <w:szCs w:val="24"/>
        </w:rPr>
        <w:t>TdR</w:t>
      </w:r>
      <w:proofErr w:type="spellEnd"/>
      <w:r w:rsidRPr="007644A5">
        <w:rPr>
          <w:rFonts w:ascii="Times New Roman" w:hAnsi="Times New Roman" w:cs="Times New Roman"/>
          <w:sz w:val="24"/>
          <w:szCs w:val="24"/>
        </w:rPr>
        <w:t xml:space="preserve"> che si lascia comandare dall’impostazione di un simile </w:t>
      </w:r>
      <w:r w:rsidRPr="007644A5">
        <w:rPr>
          <w:rFonts w:ascii="Times New Roman" w:hAnsi="Times New Roman" w:cs="Times New Roman"/>
          <w:i/>
          <w:sz w:val="24"/>
          <w:szCs w:val="24"/>
        </w:rPr>
        <w:t xml:space="preserve">status </w:t>
      </w:r>
      <w:proofErr w:type="spellStart"/>
      <w:r w:rsidRPr="007644A5">
        <w:rPr>
          <w:rFonts w:ascii="Times New Roman" w:hAnsi="Times New Roman" w:cs="Times New Roman"/>
          <w:i/>
          <w:sz w:val="24"/>
          <w:szCs w:val="24"/>
        </w:rPr>
        <w:t>quaestionis</w:t>
      </w:r>
      <w:proofErr w:type="spellEnd"/>
      <w:r w:rsidRPr="007644A5">
        <w:rPr>
          <w:rFonts w:ascii="Times New Roman" w:hAnsi="Times New Roman" w:cs="Times New Roman"/>
          <w:sz w:val="24"/>
          <w:szCs w:val="24"/>
        </w:rPr>
        <w:t>.</w:t>
      </w:r>
    </w:p>
    <w:p w:rsidR="007644A5" w:rsidRPr="007644A5" w:rsidRDefault="007644A5" w:rsidP="007644A5">
      <w:pPr>
        <w:spacing w:after="0" w:line="240" w:lineRule="auto"/>
        <w:jc w:val="both"/>
        <w:rPr>
          <w:rFonts w:ascii="Times New Roman" w:hAnsi="Times New Roman" w:cs="Times New Roman"/>
          <w:sz w:val="24"/>
          <w:szCs w:val="24"/>
        </w:rPr>
      </w:pPr>
      <w:r w:rsidRPr="007644A5">
        <w:rPr>
          <w:rFonts w:ascii="Times New Roman" w:hAnsi="Times New Roman" w:cs="Times New Roman"/>
          <w:sz w:val="24"/>
          <w:szCs w:val="24"/>
        </w:rPr>
        <w:t>Nella prospettiva determinata dalla posizione del problema sopra delineata, il contributo del cristianesimo al dialogo e quindi alla pacifica convivenza va caratterizzato come segue:</w:t>
      </w:r>
    </w:p>
    <w:p w:rsidR="007644A5" w:rsidRPr="007644A5" w:rsidRDefault="007644A5" w:rsidP="007644A5">
      <w:pPr>
        <w:pStyle w:val="Citazione"/>
        <w:spacing w:before="0" w:after="0" w:line="240" w:lineRule="auto"/>
        <w:rPr>
          <w:sz w:val="22"/>
          <w:szCs w:val="22"/>
        </w:rPr>
      </w:pPr>
    </w:p>
    <w:p w:rsidR="007644A5" w:rsidRPr="007644A5" w:rsidRDefault="007644A5" w:rsidP="007644A5">
      <w:pPr>
        <w:pStyle w:val="Citazione"/>
        <w:spacing w:before="0" w:after="0" w:line="240" w:lineRule="auto"/>
        <w:rPr>
          <w:sz w:val="22"/>
          <w:szCs w:val="22"/>
        </w:rPr>
      </w:pPr>
      <w:r w:rsidRPr="007644A5">
        <w:rPr>
          <w:sz w:val="22"/>
          <w:szCs w:val="22"/>
        </w:rPr>
        <w:t xml:space="preserve">«Perché tale dialogo sia fruttuoso, occorre che il cristianesimo, e in concreto </w:t>
      </w:r>
      <w:smartTag w:uri="urn:schemas-microsoft-com:office:smarttags" w:element="PersonName">
        <w:smartTagPr>
          <w:attr w:name="ProductID" w:val="la Chiesa"/>
        </w:smartTagPr>
        <w:r w:rsidRPr="007644A5">
          <w:rPr>
            <w:sz w:val="22"/>
            <w:szCs w:val="22"/>
          </w:rPr>
          <w:t>la Chiesa</w:t>
        </w:r>
      </w:smartTag>
      <w:r w:rsidRPr="007644A5">
        <w:rPr>
          <w:sz w:val="22"/>
          <w:szCs w:val="22"/>
        </w:rPr>
        <w:t xml:space="preserve"> cattolica, si impegni a precisare come valuta, dal punto di vista teologico, le religioni. Da questa valutazione dipenderà in grande misura il rapporto dei cristiani con le varie religioni e con i loro seguaci, e il conseguente dialogo che, in diverse forme, si stabilirà con esse» (n. 3).</w:t>
      </w:r>
    </w:p>
    <w:p w:rsidR="007644A5" w:rsidRPr="007644A5" w:rsidRDefault="007644A5" w:rsidP="007644A5">
      <w:pPr>
        <w:pStyle w:val="Corpotesto"/>
        <w:spacing w:after="0" w:line="240" w:lineRule="auto"/>
        <w:rPr>
          <w:lang w:eastAsia="it-IT"/>
        </w:rPr>
      </w:pPr>
    </w:p>
    <w:p w:rsidR="007644A5" w:rsidRPr="007644A5" w:rsidRDefault="007644A5" w:rsidP="007644A5">
      <w:pPr>
        <w:spacing w:after="0" w:line="240" w:lineRule="auto"/>
        <w:jc w:val="both"/>
        <w:rPr>
          <w:rFonts w:ascii="Times New Roman" w:hAnsi="Times New Roman" w:cs="Times New Roman"/>
          <w:sz w:val="24"/>
          <w:szCs w:val="24"/>
        </w:rPr>
      </w:pPr>
      <w:r w:rsidRPr="007644A5">
        <w:rPr>
          <w:rFonts w:ascii="Times New Roman" w:hAnsi="Times New Roman" w:cs="Times New Roman"/>
          <w:sz w:val="24"/>
          <w:szCs w:val="24"/>
        </w:rPr>
        <w:t xml:space="preserve">E’ proprio alla luce di tale contesto che occorre precisare il senso di una </w:t>
      </w:r>
      <w:proofErr w:type="spellStart"/>
      <w:r w:rsidRPr="007644A5">
        <w:rPr>
          <w:rFonts w:ascii="Times New Roman" w:hAnsi="Times New Roman" w:cs="Times New Roman"/>
          <w:sz w:val="24"/>
          <w:szCs w:val="24"/>
        </w:rPr>
        <w:t>TdR</w:t>
      </w:r>
      <w:proofErr w:type="spellEnd"/>
      <w:r w:rsidRPr="007644A5">
        <w:rPr>
          <w:rFonts w:ascii="Times New Roman" w:hAnsi="Times New Roman" w:cs="Times New Roman"/>
          <w:sz w:val="24"/>
          <w:szCs w:val="24"/>
        </w:rPr>
        <w:t xml:space="preserve">, consapevoli della “pressione ambientale” che viene esercitata sulla ricerca. </w:t>
      </w:r>
    </w:p>
    <w:p w:rsidR="007644A5" w:rsidRPr="007644A5" w:rsidRDefault="007644A5" w:rsidP="007644A5">
      <w:pPr>
        <w:spacing w:after="0" w:line="240" w:lineRule="auto"/>
        <w:jc w:val="both"/>
        <w:rPr>
          <w:rFonts w:ascii="Times New Roman" w:hAnsi="Times New Roman" w:cs="Times New Roman"/>
          <w:sz w:val="24"/>
          <w:szCs w:val="24"/>
        </w:rPr>
      </w:pPr>
    </w:p>
    <w:p w:rsidR="00C62E2C" w:rsidRDefault="00C62E2C" w:rsidP="007644A5">
      <w:pPr>
        <w:spacing w:after="0" w:line="240" w:lineRule="auto"/>
        <w:jc w:val="both"/>
        <w:rPr>
          <w:rFonts w:ascii="Times New Roman" w:hAnsi="Times New Roman" w:cs="Times New Roman"/>
          <w:sz w:val="24"/>
          <w:szCs w:val="24"/>
        </w:rPr>
      </w:pPr>
    </w:p>
    <w:p w:rsidR="007644A5" w:rsidRPr="007644A5" w:rsidRDefault="007644A5" w:rsidP="007644A5">
      <w:pPr>
        <w:spacing w:after="0" w:line="240" w:lineRule="auto"/>
        <w:jc w:val="both"/>
        <w:rPr>
          <w:rFonts w:ascii="Times New Roman" w:hAnsi="Times New Roman" w:cs="Times New Roman"/>
          <w:sz w:val="24"/>
          <w:szCs w:val="24"/>
        </w:rPr>
      </w:pPr>
      <w:r w:rsidRPr="007644A5">
        <w:rPr>
          <w:rFonts w:ascii="Times New Roman" w:hAnsi="Times New Roman" w:cs="Times New Roman"/>
          <w:sz w:val="24"/>
          <w:szCs w:val="24"/>
        </w:rPr>
        <w:lastRenderedPageBreak/>
        <w:t xml:space="preserve">2. </w:t>
      </w:r>
      <w:r w:rsidRPr="007644A5">
        <w:rPr>
          <w:rFonts w:ascii="Times New Roman" w:hAnsi="Times New Roman" w:cs="Times New Roman"/>
          <w:i/>
          <w:sz w:val="24"/>
          <w:szCs w:val="24"/>
        </w:rPr>
        <w:t>Le incertezze metodologiche: tre livelli problematici</w:t>
      </w:r>
    </w:p>
    <w:p w:rsidR="007644A5" w:rsidRPr="007644A5" w:rsidRDefault="007644A5" w:rsidP="007644A5">
      <w:pPr>
        <w:spacing w:after="0" w:line="240" w:lineRule="auto"/>
        <w:jc w:val="both"/>
        <w:rPr>
          <w:rFonts w:ascii="Times New Roman" w:hAnsi="Times New Roman" w:cs="Times New Roman"/>
          <w:sz w:val="24"/>
          <w:szCs w:val="24"/>
        </w:rPr>
      </w:pPr>
    </w:p>
    <w:p w:rsidR="007644A5" w:rsidRPr="007644A5" w:rsidRDefault="007644A5" w:rsidP="007644A5">
      <w:pPr>
        <w:spacing w:after="0" w:line="240" w:lineRule="auto"/>
        <w:jc w:val="both"/>
        <w:rPr>
          <w:rFonts w:ascii="Times New Roman" w:hAnsi="Times New Roman" w:cs="Times New Roman"/>
          <w:sz w:val="24"/>
          <w:szCs w:val="24"/>
        </w:rPr>
      </w:pPr>
      <w:r w:rsidRPr="007644A5">
        <w:rPr>
          <w:rFonts w:ascii="Times New Roman" w:hAnsi="Times New Roman" w:cs="Times New Roman"/>
          <w:sz w:val="24"/>
          <w:szCs w:val="24"/>
        </w:rPr>
        <w:t xml:space="preserve">La risposta della </w:t>
      </w:r>
      <w:proofErr w:type="spellStart"/>
      <w:r w:rsidRPr="007644A5">
        <w:rPr>
          <w:rFonts w:ascii="Times New Roman" w:hAnsi="Times New Roman" w:cs="Times New Roman"/>
          <w:sz w:val="24"/>
          <w:szCs w:val="24"/>
        </w:rPr>
        <w:t>TdR</w:t>
      </w:r>
      <w:proofErr w:type="spellEnd"/>
      <w:r w:rsidRPr="007644A5">
        <w:rPr>
          <w:rFonts w:ascii="Times New Roman" w:hAnsi="Times New Roman" w:cs="Times New Roman"/>
          <w:sz w:val="24"/>
          <w:szCs w:val="24"/>
        </w:rPr>
        <w:t xml:space="preserve"> allo </w:t>
      </w:r>
      <w:r w:rsidRPr="007644A5">
        <w:rPr>
          <w:rFonts w:ascii="Times New Roman" w:hAnsi="Times New Roman" w:cs="Times New Roman"/>
          <w:i/>
          <w:sz w:val="24"/>
          <w:szCs w:val="24"/>
        </w:rPr>
        <w:t xml:space="preserve">status </w:t>
      </w:r>
      <w:proofErr w:type="spellStart"/>
      <w:r w:rsidRPr="007644A5">
        <w:rPr>
          <w:rFonts w:ascii="Times New Roman" w:hAnsi="Times New Roman" w:cs="Times New Roman"/>
          <w:i/>
          <w:sz w:val="24"/>
          <w:szCs w:val="24"/>
        </w:rPr>
        <w:t>quaestionis</w:t>
      </w:r>
      <w:proofErr w:type="spellEnd"/>
      <w:r w:rsidRPr="007644A5">
        <w:rPr>
          <w:rFonts w:ascii="Times New Roman" w:hAnsi="Times New Roman" w:cs="Times New Roman"/>
          <w:sz w:val="24"/>
          <w:szCs w:val="24"/>
        </w:rPr>
        <w:t xml:space="preserve"> sopra delineato è giudicata in modo categorico:</w:t>
      </w:r>
    </w:p>
    <w:p w:rsidR="007644A5" w:rsidRPr="007644A5" w:rsidRDefault="007644A5" w:rsidP="007644A5">
      <w:pPr>
        <w:pStyle w:val="Citazione"/>
        <w:spacing w:before="0" w:after="0" w:line="240" w:lineRule="auto"/>
        <w:rPr>
          <w:sz w:val="22"/>
          <w:szCs w:val="22"/>
        </w:rPr>
      </w:pPr>
    </w:p>
    <w:p w:rsidR="007644A5" w:rsidRPr="007644A5" w:rsidRDefault="007644A5" w:rsidP="007644A5">
      <w:pPr>
        <w:pStyle w:val="Citazione"/>
        <w:spacing w:before="0" w:after="0" w:line="240" w:lineRule="auto"/>
        <w:rPr>
          <w:sz w:val="22"/>
          <w:szCs w:val="22"/>
        </w:rPr>
      </w:pPr>
      <w:r w:rsidRPr="007644A5">
        <w:rPr>
          <w:sz w:val="22"/>
          <w:szCs w:val="22"/>
        </w:rPr>
        <w:t>«La teologia delle religioni non presenta ancora uno statuto epistemologico ben definito: è questo uno dei motivi determinanti della discussione attuale» (n. 4).</w:t>
      </w:r>
    </w:p>
    <w:p w:rsidR="007644A5" w:rsidRPr="007644A5" w:rsidRDefault="007644A5" w:rsidP="007644A5">
      <w:pPr>
        <w:pStyle w:val="Corpotesto"/>
        <w:spacing w:after="0" w:line="240" w:lineRule="auto"/>
        <w:rPr>
          <w:lang w:eastAsia="it-IT"/>
        </w:rPr>
      </w:pPr>
    </w:p>
    <w:p w:rsidR="007644A5" w:rsidRPr="007644A5" w:rsidRDefault="007644A5" w:rsidP="00764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t>
      </w:r>
      <w:r w:rsidRPr="007644A5">
        <w:rPr>
          <w:rFonts w:ascii="Times New Roman" w:hAnsi="Times New Roman" w:cs="Times New Roman"/>
          <w:sz w:val="24"/>
          <w:szCs w:val="24"/>
        </w:rPr>
        <w:t xml:space="preserve">le giudizio è giustificato in relazione a tre sintomi significativi della problematicità metodologica dell’impostazione della ricerca: la diversità irriducibile delle “linee di pensiero” sul problema salvifico; l’insufficiente conoscenza delle altre religioni; l’elaborazione di criteri di valutazione al di fuori della fede (impostazione </w:t>
      </w:r>
      <w:r w:rsidRPr="007644A5">
        <w:rPr>
          <w:rFonts w:ascii="Times New Roman" w:hAnsi="Times New Roman" w:cs="Times New Roman"/>
          <w:i/>
          <w:sz w:val="24"/>
          <w:szCs w:val="24"/>
        </w:rPr>
        <w:t>a-dogmatica</w:t>
      </w:r>
      <w:r w:rsidRPr="007644A5">
        <w:rPr>
          <w:rFonts w:ascii="Times New Roman" w:hAnsi="Times New Roman" w:cs="Times New Roman"/>
          <w:sz w:val="24"/>
          <w:szCs w:val="24"/>
        </w:rPr>
        <w:t>).</w:t>
      </w:r>
    </w:p>
    <w:p w:rsidR="007644A5" w:rsidRPr="007644A5" w:rsidRDefault="007644A5" w:rsidP="007644A5">
      <w:pPr>
        <w:spacing w:after="0" w:line="240" w:lineRule="auto"/>
        <w:jc w:val="both"/>
        <w:rPr>
          <w:rFonts w:ascii="Times New Roman" w:hAnsi="Times New Roman" w:cs="Times New Roman"/>
          <w:sz w:val="24"/>
          <w:szCs w:val="24"/>
        </w:rPr>
      </w:pPr>
      <w:r w:rsidRPr="007644A5">
        <w:rPr>
          <w:rFonts w:ascii="Times New Roman" w:hAnsi="Times New Roman" w:cs="Times New Roman"/>
          <w:sz w:val="24"/>
          <w:szCs w:val="24"/>
        </w:rPr>
        <w:t xml:space="preserve">Quanto alle diverse impostazioni si rimanda a titolo di esempio alla differenza tra una </w:t>
      </w:r>
      <w:r w:rsidRPr="007644A5">
        <w:rPr>
          <w:rFonts w:ascii="Times New Roman" w:hAnsi="Times New Roman" w:cs="Times New Roman"/>
          <w:i/>
          <w:sz w:val="24"/>
          <w:szCs w:val="24"/>
        </w:rPr>
        <w:t xml:space="preserve">linea </w:t>
      </w:r>
      <w:proofErr w:type="spellStart"/>
      <w:r w:rsidRPr="007644A5">
        <w:rPr>
          <w:rFonts w:ascii="Times New Roman" w:hAnsi="Times New Roman" w:cs="Times New Roman"/>
          <w:i/>
          <w:sz w:val="24"/>
          <w:szCs w:val="24"/>
        </w:rPr>
        <w:t>Daniélou</w:t>
      </w:r>
      <w:proofErr w:type="spellEnd"/>
      <w:r w:rsidRPr="007644A5">
        <w:rPr>
          <w:rFonts w:ascii="Times New Roman" w:hAnsi="Times New Roman" w:cs="Times New Roman"/>
          <w:sz w:val="24"/>
          <w:szCs w:val="24"/>
        </w:rPr>
        <w:t xml:space="preserve">, che inserisce le religioni nell’ambito dell’alleanza cosmica con Dio (Noè), riducendole a </w:t>
      </w:r>
      <w:r w:rsidRPr="007644A5">
        <w:rPr>
          <w:rFonts w:ascii="Times New Roman" w:hAnsi="Times New Roman" w:cs="Times New Roman"/>
          <w:i/>
          <w:sz w:val="24"/>
          <w:szCs w:val="24"/>
        </w:rPr>
        <w:t>segnali d’attesa</w:t>
      </w:r>
      <w:r w:rsidRPr="007644A5">
        <w:rPr>
          <w:rFonts w:ascii="Times New Roman" w:hAnsi="Times New Roman" w:cs="Times New Roman"/>
          <w:sz w:val="24"/>
          <w:szCs w:val="24"/>
        </w:rPr>
        <w:t xml:space="preserve"> e </w:t>
      </w:r>
      <w:r w:rsidRPr="007644A5">
        <w:rPr>
          <w:rFonts w:ascii="Times New Roman" w:hAnsi="Times New Roman" w:cs="Times New Roman"/>
          <w:i/>
          <w:sz w:val="24"/>
          <w:szCs w:val="24"/>
        </w:rPr>
        <w:t>pietre di inciampo</w:t>
      </w:r>
      <w:r w:rsidRPr="007644A5">
        <w:rPr>
          <w:rFonts w:ascii="Times New Roman" w:hAnsi="Times New Roman" w:cs="Times New Roman"/>
          <w:sz w:val="24"/>
          <w:szCs w:val="24"/>
        </w:rPr>
        <w:t xml:space="preserve"> (per il peccato che produce errori e deviazioni) in ordine alla salvezza, e una linea </w:t>
      </w:r>
      <w:proofErr w:type="spellStart"/>
      <w:r w:rsidRPr="007644A5">
        <w:rPr>
          <w:rFonts w:ascii="Times New Roman" w:hAnsi="Times New Roman" w:cs="Times New Roman"/>
          <w:i/>
          <w:sz w:val="24"/>
          <w:szCs w:val="24"/>
        </w:rPr>
        <w:t>rahneriana</w:t>
      </w:r>
      <w:proofErr w:type="spellEnd"/>
      <w:r w:rsidRPr="007644A5">
        <w:rPr>
          <w:rFonts w:ascii="Times New Roman" w:hAnsi="Times New Roman" w:cs="Times New Roman"/>
          <w:sz w:val="24"/>
          <w:szCs w:val="24"/>
        </w:rPr>
        <w:t>, che riconosce anche nelle altre religioni la presenza della grazia soprannaturale (a livello di elevazione dell’orizzonte trascendentale di esperienza), ma lamenta un’inadeguata mediazione storico-categoriale di tale vicinanza salvifica di Dio. Resta però il fatto che tali religioni hanno valore per l’esperienza salvifica dei loro membri, benché siano inadeguate (n. 4). Non è chiaro in che senso queste linee siano segno di uno «statuto epistemologico non ben definito». Forse perché mostrano una certa irriducibilità all’interno della stessa autocoscienza teologica dell’azione della grazia e delle dimensioni della storia della salvezza: come posso determinare la posizione delle religioni nella storia della salvezza, se non vi è un teologia della storia della salvezza univoca?</w:t>
      </w:r>
    </w:p>
    <w:p w:rsidR="007644A5" w:rsidRPr="007644A5" w:rsidRDefault="007644A5" w:rsidP="007644A5">
      <w:pPr>
        <w:spacing w:after="0" w:line="240" w:lineRule="auto"/>
        <w:jc w:val="both"/>
        <w:rPr>
          <w:rFonts w:ascii="Times New Roman" w:hAnsi="Times New Roman" w:cs="Times New Roman"/>
          <w:sz w:val="24"/>
          <w:szCs w:val="24"/>
        </w:rPr>
      </w:pPr>
      <w:r w:rsidRPr="007644A5">
        <w:rPr>
          <w:rFonts w:ascii="Times New Roman" w:hAnsi="Times New Roman" w:cs="Times New Roman"/>
          <w:sz w:val="24"/>
          <w:szCs w:val="24"/>
        </w:rPr>
        <w:t xml:space="preserve">La seconda carenza metodologica è legata all’esigenza di una maggior conoscenza delle singole religioni (n. 5). L’istanza da raccogliere è quella di non generalizzare: tra le religioni mistiche (induismo) e quelle sapienziali (confucianesimo), tra la via ascetica di liberazione buddista e le religioni profetiche o “di rivelazione” esistono differenze profonde che sconsigliano affermazioni generiche. Occorre evitare «giudizi globali e aprioristici». Ma tale osservazione ripropone nell’ambito della </w:t>
      </w:r>
      <w:proofErr w:type="spellStart"/>
      <w:r w:rsidRPr="007644A5">
        <w:rPr>
          <w:rFonts w:ascii="Times New Roman" w:hAnsi="Times New Roman" w:cs="Times New Roman"/>
          <w:sz w:val="24"/>
          <w:szCs w:val="24"/>
        </w:rPr>
        <w:t>TdR</w:t>
      </w:r>
      <w:proofErr w:type="spellEnd"/>
      <w:r w:rsidRPr="007644A5">
        <w:rPr>
          <w:rFonts w:ascii="Times New Roman" w:hAnsi="Times New Roman" w:cs="Times New Roman"/>
          <w:sz w:val="24"/>
          <w:szCs w:val="24"/>
        </w:rPr>
        <w:t xml:space="preserve"> la problematica metodologica delle scienze delle religioni: è possibile considerare qualcosa come </w:t>
      </w:r>
      <w:r w:rsidRPr="007644A5">
        <w:rPr>
          <w:rFonts w:ascii="Times New Roman" w:hAnsi="Times New Roman" w:cs="Times New Roman"/>
          <w:i/>
          <w:sz w:val="24"/>
          <w:szCs w:val="24"/>
        </w:rPr>
        <w:t>un’esperienza religiosa</w:t>
      </w:r>
      <w:r w:rsidRPr="007644A5">
        <w:rPr>
          <w:rFonts w:ascii="Times New Roman" w:hAnsi="Times New Roman" w:cs="Times New Roman"/>
          <w:sz w:val="24"/>
          <w:szCs w:val="24"/>
        </w:rPr>
        <w:t xml:space="preserve"> comune oppure si deve parlare di pluralità irriducibile di </w:t>
      </w:r>
      <w:r w:rsidRPr="007644A5">
        <w:rPr>
          <w:rFonts w:ascii="Times New Roman" w:hAnsi="Times New Roman" w:cs="Times New Roman"/>
          <w:i/>
          <w:sz w:val="24"/>
          <w:szCs w:val="24"/>
        </w:rPr>
        <w:t>religioni</w:t>
      </w:r>
      <w:r w:rsidRPr="007644A5">
        <w:rPr>
          <w:rFonts w:ascii="Times New Roman" w:hAnsi="Times New Roman" w:cs="Times New Roman"/>
          <w:sz w:val="24"/>
          <w:szCs w:val="24"/>
        </w:rPr>
        <w:t>, intese come modalità storicamente e culturalmente differenti del religioso? E’ l’annoso problema dell’unità-pluralità dell’oggetto della scienza delle religioni. L’accenno ai diversi metodi assunti è sintomatico (anche se non molto chiaro): c’è chi tenta una storia delle religioni; chi preferisce lo studio della singola religione nel suo sviluppo storico, chi compone ricerca storico-fenomenologica e indagine deduttiva, chi infine rifiuta ogni giudizio generalizzante sulle religioni. Si comprende la difficoltà, anche se le istanze vanno composte con sapienza: la storicità dei rapporti tra le religioni esige che si tenti una collocazione delle diverse esperienze religiose in una storia complessiva; l’attenzione allo sviluppo di una religione chiede di valutare con cura il nesso tra cultura e religione, ma anche gli scambi culturali tra i popoli. Infine questi fattori di complessità vanno assunti nella ricchezza del cristianesimo, che raccoglie in sé le dimensioni sapienziale, profetica, mistica, cultuale, del religioso, articolandole in modo originale.</w:t>
      </w:r>
    </w:p>
    <w:p w:rsidR="007644A5" w:rsidRPr="007644A5" w:rsidRDefault="007644A5" w:rsidP="007644A5">
      <w:pPr>
        <w:spacing w:after="0" w:line="240" w:lineRule="auto"/>
        <w:jc w:val="both"/>
        <w:rPr>
          <w:rFonts w:ascii="Times New Roman" w:hAnsi="Times New Roman" w:cs="Times New Roman"/>
          <w:sz w:val="24"/>
          <w:szCs w:val="24"/>
        </w:rPr>
      </w:pPr>
      <w:r w:rsidRPr="007644A5">
        <w:rPr>
          <w:rFonts w:ascii="Times New Roman" w:hAnsi="Times New Roman" w:cs="Times New Roman"/>
          <w:sz w:val="24"/>
          <w:szCs w:val="24"/>
        </w:rPr>
        <w:t xml:space="preserve">La terza insufficienza metodologica deriva direttamente dal contesto culturale. L’alto significato riconosciuto al dialogo spinge spesso a cercare criteri di valutazione delle religioni che siano validi per tutti, riconosciuti da tutti nell’ambito di uno scambio dialogico. Ciò significa per </w:t>
      </w:r>
      <w:smartTag w:uri="urn:schemas-microsoft-com:office:smarttags" w:element="PersonName">
        <w:smartTagPr>
          <w:attr w:name="ProductID" w:val="La TdR"/>
        </w:smartTagPr>
        <w:r w:rsidRPr="007644A5">
          <w:rPr>
            <w:rFonts w:ascii="Times New Roman" w:hAnsi="Times New Roman" w:cs="Times New Roman"/>
            <w:sz w:val="24"/>
            <w:szCs w:val="24"/>
          </w:rPr>
          <w:t xml:space="preserve">la </w:t>
        </w:r>
        <w:proofErr w:type="spellStart"/>
        <w:r w:rsidRPr="007644A5">
          <w:rPr>
            <w:rFonts w:ascii="Times New Roman" w:hAnsi="Times New Roman" w:cs="Times New Roman"/>
            <w:sz w:val="24"/>
            <w:szCs w:val="24"/>
          </w:rPr>
          <w:t>TdR</w:t>
        </w:r>
      </w:smartTag>
      <w:proofErr w:type="spellEnd"/>
      <w:r w:rsidRPr="007644A5">
        <w:rPr>
          <w:rFonts w:ascii="Times New Roman" w:hAnsi="Times New Roman" w:cs="Times New Roman"/>
          <w:sz w:val="24"/>
          <w:szCs w:val="24"/>
        </w:rPr>
        <w:t xml:space="preserve"> una certa crisi del metodo «dogmatico». Non posso leggere le altre esperienze religiose a partire dalle mie certezze di fede (creazione, redenzione, visione dell’uomo, incarnazione). Ciò però induce una grande confusione sul versante della stessa indagine teologica, la quale, essendo </w:t>
      </w:r>
      <w:proofErr w:type="spellStart"/>
      <w:r w:rsidRPr="007644A5">
        <w:rPr>
          <w:rFonts w:ascii="Times New Roman" w:hAnsi="Times New Roman" w:cs="Times New Roman"/>
          <w:i/>
          <w:sz w:val="24"/>
          <w:szCs w:val="24"/>
        </w:rPr>
        <w:t>fides</w:t>
      </w:r>
      <w:proofErr w:type="spellEnd"/>
      <w:r w:rsidRPr="007644A5">
        <w:rPr>
          <w:rFonts w:ascii="Times New Roman" w:hAnsi="Times New Roman" w:cs="Times New Roman"/>
          <w:i/>
          <w:sz w:val="24"/>
          <w:szCs w:val="24"/>
        </w:rPr>
        <w:t xml:space="preserve"> </w:t>
      </w:r>
      <w:proofErr w:type="spellStart"/>
      <w:r w:rsidRPr="007644A5">
        <w:rPr>
          <w:rFonts w:ascii="Times New Roman" w:hAnsi="Times New Roman" w:cs="Times New Roman"/>
          <w:i/>
          <w:sz w:val="24"/>
          <w:szCs w:val="24"/>
        </w:rPr>
        <w:t>quaerens</w:t>
      </w:r>
      <w:proofErr w:type="spellEnd"/>
      <w:r w:rsidRPr="007644A5">
        <w:rPr>
          <w:rFonts w:ascii="Times New Roman" w:hAnsi="Times New Roman" w:cs="Times New Roman"/>
          <w:i/>
          <w:sz w:val="24"/>
          <w:szCs w:val="24"/>
        </w:rPr>
        <w:t xml:space="preserve"> </w:t>
      </w:r>
      <w:proofErr w:type="spellStart"/>
      <w:r w:rsidRPr="007644A5">
        <w:rPr>
          <w:rFonts w:ascii="Times New Roman" w:hAnsi="Times New Roman" w:cs="Times New Roman"/>
          <w:i/>
          <w:sz w:val="24"/>
          <w:szCs w:val="24"/>
        </w:rPr>
        <w:t>intellectum</w:t>
      </w:r>
      <w:proofErr w:type="spellEnd"/>
      <w:r w:rsidRPr="007644A5">
        <w:rPr>
          <w:rFonts w:ascii="Times New Roman" w:hAnsi="Times New Roman" w:cs="Times New Roman"/>
          <w:sz w:val="24"/>
          <w:szCs w:val="24"/>
        </w:rPr>
        <w:t>, non può rinunciare al «principio dogmatico»</w:t>
      </w:r>
      <w:r w:rsidRPr="007644A5">
        <w:rPr>
          <w:rStyle w:val="Rimandonotaapidipagina"/>
          <w:rFonts w:ascii="Times New Roman" w:hAnsi="Times New Roman" w:cs="Times New Roman"/>
          <w:sz w:val="24"/>
          <w:szCs w:val="24"/>
        </w:rPr>
        <w:footnoteReference w:id="4"/>
      </w:r>
      <w:r w:rsidRPr="007644A5">
        <w:rPr>
          <w:rFonts w:ascii="Times New Roman" w:hAnsi="Times New Roman" w:cs="Times New Roman"/>
          <w:sz w:val="24"/>
          <w:szCs w:val="24"/>
        </w:rPr>
        <w:t xml:space="preserve">. </w:t>
      </w:r>
    </w:p>
    <w:p w:rsidR="007644A5" w:rsidRPr="007644A5" w:rsidRDefault="007644A5" w:rsidP="007644A5">
      <w:pPr>
        <w:spacing w:after="0" w:line="240" w:lineRule="auto"/>
        <w:jc w:val="both"/>
        <w:rPr>
          <w:rFonts w:ascii="Times New Roman" w:hAnsi="Times New Roman" w:cs="Times New Roman"/>
          <w:sz w:val="24"/>
          <w:szCs w:val="24"/>
        </w:rPr>
      </w:pPr>
    </w:p>
    <w:p w:rsidR="007644A5" w:rsidRPr="007644A5" w:rsidRDefault="007644A5" w:rsidP="007644A5">
      <w:pPr>
        <w:spacing w:after="0" w:line="240" w:lineRule="auto"/>
        <w:jc w:val="both"/>
        <w:rPr>
          <w:rFonts w:ascii="Times New Roman" w:hAnsi="Times New Roman" w:cs="Times New Roman"/>
          <w:sz w:val="24"/>
          <w:szCs w:val="24"/>
        </w:rPr>
      </w:pPr>
      <w:r w:rsidRPr="007644A5">
        <w:rPr>
          <w:rFonts w:ascii="Times New Roman" w:hAnsi="Times New Roman" w:cs="Times New Roman"/>
          <w:sz w:val="24"/>
          <w:szCs w:val="24"/>
        </w:rPr>
        <w:t xml:space="preserve">3. </w:t>
      </w:r>
      <w:r w:rsidRPr="007644A5">
        <w:rPr>
          <w:rFonts w:ascii="Times New Roman" w:hAnsi="Times New Roman" w:cs="Times New Roman"/>
          <w:i/>
          <w:sz w:val="24"/>
          <w:szCs w:val="24"/>
        </w:rPr>
        <w:t xml:space="preserve">I compiti di una </w:t>
      </w:r>
      <w:proofErr w:type="spellStart"/>
      <w:r w:rsidRPr="007644A5">
        <w:rPr>
          <w:rFonts w:ascii="Times New Roman" w:hAnsi="Times New Roman" w:cs="Times New Roman"/>
          <w:i/>
          <w:sz w:val="24"/>
          <w:szCs w:val="24"/>
        </w:rPr>
        <w:t>TdR</w:t>
      </w:r>
      <w:proofErr w:type="spellEnd"/>
      <w:r w:rsidRPr="007644A5">
        <w:rPr>
          <w:rFonts w:ascii="Times New Roman" w:hAnsi="Times New Roman" w:cs="Times New Roman"/>
          <w:i/>
          <w:sz w:val="24"/>
          <w:szCs w:val="24"/>
        </w:rPr>
        <w:t xml:space="preserve"> all’altezza della sfida attuale</w:t>
      </w:r>
    </w:p>
    <w:p w:rsidR="007644A5" w:rsidRDefault="007644A5" w:rsidP="007644A5">
      <w:pPr>
        <w:pStyle w:val="Citazione"/>
        <w:spacing w:before="0" w:after="0" w:line="240" w:lineRule="auto"/>
        <w:rPr>
          <w:sz w:val="22"/>
          <w:szCs w:val="22"/>
        </w:rPr>
      </w:pPr>
    </w:p>
    <w:p w:rsidR="007644A5" w:rsidRDefault="007644A5" w:rsidP="007644A5">
      <w:pPr>
        <w:pStyle w:val="Citazione"/>
        <w:spacing w:before="0" w:after="0" w:line="240" w:lineRule="auto"/>
        <w:rPr>
          <w:sz w:val="22"/>
          <w:szCs w:val="22"/>
        </w:rPr>
      </w:pPr>
      <w:r w:rsidRPr="007644A5">
        <w:rPr>
          <w:sz w:val="22"/>
          <w:szCs w:val="22"/>
        </w:rPr>
        <w:t>«Di fronte a tale situazione, una teologia cristiana delle religioni ha davanti a sé diversi compiti. In primo luogo il cristianesimo dovrà impegnarsi a comprendere e a valutare se stesso nel contesto di una pluralità di religioni: dovrà riflettere in concreto sulla verità e l’universalità che esso rivendica. In secondo luogo dovrà cercare il senso, la funzione e il valore proprio delle religioni nella totalità della storia della salvezza. Infine la teologia cristiana dovrà studiare ed esaminare le religioni concrete con i loro contenuti ben definiti, che dovranno essere posti a confronto con i contenuti della fede cristiana. Per questo è necessario stabilire criteri che consentano una discussione critica di tale materiale e un’ermeneutica che lo interpreti» (n. 7)</w:t>
      </w:r>
    </w:p>
    <w:p w:rsidR="007644A5" w:rsidRPr="007644A5" w:rsidRDefault="007644A5" w:rsidP="007644A5">
      <w:pPr>
        <w:pStyle w:val="Corpotesto"/>
        <w:spacing w:after="0" w:line="240" w:lineRule="auto"/>
        <w:rPr>
          <w:lang w:eastAsia="it-IT"/>
        </w:rPr>
      </w:pPr>
    </w:p>
    <w:p w:rsidR="007644A5" w:rsidRPr="007644A5" w:rsidRDefault="007644A5" w:rsidP="007644A5">
      <w:pPr>
        <w:spacing w:after="0" w:line="240" w:lineRule="auto"/>
        <w:jc w:val="both"/>
        <w:rPr>
          <w:rFonts w:ascii="Times New Roman" w:hAnsi="Times New Roman" w:cs="Times New Roman"/>
          <w:sz w:val="24"/>
          <w:szCs w:val="24"/>
        </w:rPr>
      </w:pPr>
      <w:r w:rsidRPr="007644A5">
        <w:rPr>
          <w:rFonts w:ascii="Times New Roman" w:hAnsi="Times New Roman" w:cs="Times New Roman"/>
          <w:sz w:val="24"/>
          <w:szCs w:val="24"/>
        </w:rPr>
        <w:t>Si notino i tre compiti: verificare teologicamente l’auto-comprensione del cristianesimo nella storia delle religioni; valutare la presenza e il valore delle religioni nella medesima storia salvifica e infine cercare di comprendere i contenuti concreti delle diverse religioni. La parte che segue suggerisce alcune indicazioni proprio su questi compiti.</w:t>
      </w:r>
    </w:p>
    <w:p w:rsidR="007644A5" w:rsidRDefault="007644A5" w:rsidP="007644A5">
      <w:pPr>
        <w:spacing w:after="0" w:line="240" w:lineRule="auto"/>
        <w:jc w:val="both"/>
        <w:rPr>
          <w:rFonts w:ascii="Times New Roman" w:hAnsi="Times New Roman" w:cs="Times New Roman"/>
          <w:sz w:val="24"/>
          <w:szCs w:val="24"/>
        </w:rPr>
      </w:pPr>
    </w:p>
    <w:p w:rsidR="00193A56" w:rsidRPr="00193A56" w:rsidRDefault="00193A56" w:rsidP="00193A56">
      <w:pPr>
        <w:spacing w:after="0" w:line="240" w:lineRule="auto"/>
        <w:jc w:val="center"/>
        <w:rPr>
          <w:rFonts w:ascii="Times New Roman" w:hAnsi="Times New Roman" w:cs="Times New Roman"/>
          <w:i/>
          <w:sz w:val="24"/>
          <w:szCs w:val="24"/>
        </w:rPr>
      </w:pPr>
      <w:r w:rsidRPr="00193A56">
        <w:rPr>
          <w:rFonts w:ascii="Times New Roman" w:hAnsi="Times New Roman" w:cs="Times New Roman"/>
          <w:i/>
          <w:sz w:val="24"/>
          <w:szCs w:val="24"/>
        </w:rPr>
        <w:t>Verso una teologia post-confessionale e post-religiosa</w:t>
      </w:r>
    </w:p>
    <w:p w:rsidR="00193A56" w:rsidRDefault="00193A56" w:rsidP="007644A5">
      <w:pPr>
        <w:spacing w:after="0" w:line="240" w:lineRule="auto"/>
        <w:jc w:val="both"/>
        <w:rPr>
          <w:rFonts w:ascii="Times New Roman" w:hAnsi="Times New Roman" w:cs="Times New Roman"/>
          <w:sz w:val="24"/>
          <w:szCs w:val="24"/>
        </w:rPr>
      </w:pPr>
    </w:p>
    <w:p w:rsidR="00133466" w:rsidRDefault="00133466" w:rsidP="00764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Nell’ambito della recente proposta di una teologia della liberazione pluralista, interreligiosa, laica e planetaria, che tende già verso un’impostazione post-teista che vada oltre le religioni, sorge l’istanza radicale di rivedere la stessa operazione teologica alla luce della sfida del pluralismo religioso, un pluralismo di fatto e di diritto e quindi una situazione da vivere più che un problema da affrontare. Cambia il senso stesso del lavoro teologico.</w:t>
      </w:r>
    </w:p>
    <w:p w:rsidR="00193A56" w:rsidRDefault="00133466" w:rsidP="00764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Oggetto formale della teologia è l</w:t>
      </w:r>
      <w:r w:rsidR="00193A56">
        <w:rPr>
          <w:rFonts w:ascii="Times New Roman" w:hAnsi="Times New Roman" w:cs="Times New Roman"/>
          <w:sz w:val="24"/>
          <w:szCs w:val="24"/>
        </w:rPr>
        <w:t>’esperienza religiosa simbolicamente espressa: ciò che studia e la luce sotto la quale la studia. L’oggetto della teologia non è la visione della realtà o l’insieme dei valori che ci può dare un mito e un rito, o meglio ancora una serie intera di essi, come insiemi articolati che già sono, di fatto, dei simboli, in alcuni casi rappresentativi e in altri dinamici. Meno ancora l’oggetto della teologia è l’insieme delle verità da cui possiamo derivare insiemi articolati di simboli in funzione della sua stessa articolazione, trasmissione, legittimazione, identità o altro ancora. L’oggetto della teologia è l’esperienza religiosa genuinamente tale e simbolicamente espressa, non è nient’altro. Gli altri oggetti, miti, riti, verità, dottrine… possono solo essere percorsi e meritano di esserlo in una ricerca della ricchezza simbolica che ancora mantengono e ricercando la loro funzione primaria, ma niente di più. Questo oggetto di studi</w:t>
      </w:r>
      <w:r>
        <w:rPr>
          <w:rFonts w:ascii="Times New Roman" w:hAnsi="Times New Roman" w:cs="Times New Roman"/>
          <w:sz w:val="24"/>
          <w:szCs w:val="24"/>
        </w:rPr>
        <w:t>o non è per nul</w:t>
      </w:r>
      <w:r w:rsidR="00193A56">
        <w:rPr>
          <w:rFonts w:ascii="Times New Roman" w:hAnsi="Times New Roman" w:cs="Times New Roman"/>
          <w:sz w:val="24"/>
          <w:szCs w:val="24"/>
        </w:rPr>
        <w:t>l</w:t>
      </w:r>
      <w:r>
        <w:rPr>
          <w:rFonts w:ascii="Times New Roman" w:hAnsi="Times New Roman" w:cs="Times New Roman"/>
          <w:sz w:val="24"/>
          <w:szCs w:val="24"/>
        </w:rPr>
        <w:t>a</w:t>
      </w:r>
      <w:r w:rsidR="00193A56">
        <w:rPr>
          <w:rFonts w:ascii="Times New Roman" w:hAnsi="Times New Roman" w:cs="Times New Roman"/>
          <w:sz w:val="24"/>
          <w:szCs w:val="24"/>
        </w:rPr>
        <w:t xml:space="preserve"> </w:t>
      </w:r>
      <w:proofErr w:type="spellStart"/>
      <w:r w:rsidR="00193A56">
        <w:rPr>
          <w:rFonts w:ascii="Times New Roman" w:hAnsi="Times New Roman" w:cs="Times New Roman"/>
          <w:sz w:val="24"/>
          <w:szCs w:val="24"/>
        </w:rPr>
        <w:t>concettualizzabile</w:t>
      </w:r>
      <w:proofErr w:type="spellEnd"/>
      <w:r w:rsidR="00193A56">
        <w:rPr>
          <w:rFonts w:ascii="Times New Roman" w:hAnsi="Times New Roman" w:cs="Times New Roman"/>
          <w:sz w:val="24"/>
          <w:szCs w:val="24"/>
        </w:rPr>
        <w:t xml:space="preserve">; è unicamente ciò che indica di essere: l’esperienza ultima, più piena e totale della realtà, poiché in quanto è esperienza è espressa simbolicamente. </w:t>
      </w:r>
    </w:p>
    <w:p w:rsidR="00C02920" w:rsidRPr="00C02920" w:rsidRDefault="00C02920" w:rsidP="00C02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un</w:t>
      </w:r>
      <w:r w:rsidRPr="00C02920">
        <w:rPr>
          <w:rFonts w:ascii="Times New Roman" w:hAnsi="Times New Roman" w:cs="Times New Roman"/>
          <w:sz w:val="24"/>
          <w:szCs w:val="24"/>
        </w:rPr>
        <w:t xml:space="preserve"> contesto pluralista</w:t>
      </w:r>
      <w:r>
        <w:rPr>
          <w:rFonts w:ascii="Times New Roman" w:hAnsi="Times New Roman" w:cs="Times New Roman"/>
          <w:sz w:val="24"/>
          <w:szCs w:val="24"/>
        </w:rPr>
        <w:t>, che</w:t>
      </w:r>
      <w:r w:rsidRPr="00C02920">
        <w:rPr>
          <w:rFonts w:ascii="Times New Roman" w:hAnsi="Times New Roman" w:cs="Times New Roman"/>
          <w:sz w:val="24"/>
          <w:szCs w:val="24"/>
        </w:rPr>
        <w:t xml:space="preserve"> crea situazioni di </w:t>
      </w:r>
      <w:r>
        <w:rPr>
          <w:rFonts w:ascii="Times New Roman" w:hAnsi="Times New Roman" w:cs="Times New Roman"/>
          <w:sz w:val="24"/>
          <w:szCs w:val="24"/>
        </w:rPr>
        <w:t>appartenenza religiosa multipla, la lettura simbolica dell’esperienza religiosa deve andare</w:t>
      </w:r>
      <w:r w:rsidRPr="00C02920">
        <w:rPr>
          <w:rFonts w:ascii="Times New Roman" w:hAnsi="Times New Roman" w:cs="Times New Roman"/>
          <w:sz w:val="24"/>
          <w:szCs w:val="24"/>
        </w:rPr>
        <w:t xml:space="preserve"> al di là delle identità confessionali</w:t>
      </w:r>
      <w:r>
        <w:rPr>
          <w:rFonts w:ascii="Times New Roman" w:hAnsi="Times New Roman" w:cs="Times New Roman"/>
          <w:sz w:val="24"/>
          <w:szCs w:val="24"/>
        </w:rPr>
        <w:t>, per evidenziare</w:t>
      </w:r>
      <w:r w:rsidRPr="00C02920">
        <w:rPr>
          <w:rFonts w:ascii="Times New Roman" w:hAnsi="Times New Roman" w:cs="Times New Roman"/>
          <w:sz w:val="24"/>
          <w:szCs w:val="24"/>
        </w:rPr>
        <w:t xml:space="preserve"> una spiritualità condivisa e plurale.</w:t>
      </w:r>
      <w:r>
        <w:rPr>
          <w:rFonts w:ascii="Times New Roman" w:hAnsi="Times New Roman" w:cs="Times New Roman"/>
          <w:sz w:val="24"/>
          <w:szCs w:val="24"/>
        </w:rPr>
        <w:t xml:space="preserve"> </w:t>
      </w:r>
      <w:r w:rsidRPr="00C02920">
        <w:rPr>
          <w:rFonts w:ascii="Times New Roman" w:hAnsi="Times New Roman" w:cs="Times New Roman"/>
          <w:sz w:val="24"/>
          <w:szCs w:val="24"/>
        </w:rPr>
        <w:t>Le religioni come sistemi di credenze, regole etiche e  pratiche rituali creano una cosmo-visione che interpreta la realtà in modo parziale e chiuso e così mettono tensioni tra l’esperienza spirituale e un corpo o sistema di verità da riconoscere e salvaguardare:</w:t>
      </w:r>
    </w:p>
    <w:p w:rsidR="00C02920" w:rsidRPr="00C02920" w:rsidRDefault="00C02920" w:rsidP="00C02920">
      <w:pPr>
        <w:spacing w:after="0" w:line="240" w:lineRule="auto"/>
        <w:ind w:left="170" w:right="170"/>
        <w:jc w:val="both"/>
        <w:rPr>
          <w:rFonts w:ascii="Times New Roman" w:hAnsi="Times New Roman" w:cs="Times New Roman"/>
        </w:rPr>
      </w:pPr>
    </w:p>
    <w:p w:rsidR="00193A56" w:rsidRDefault="00C02920" w:rsidP="00C02920">
      <w:pPr>
        <w:spacing w:after="0" w:line="240" w:lineRule="auto"/>
        <w:ind w:left="170" w:right="170"/>
        <w:jc w:val="both"/>
        <w:rPr>
          <w:rFonts w:ascii="Times New Roman" w:hAnsi="Times New Roman" w:cs="Times New Roman"/>
        </w:rPr>
      </w:pPr>
      <w:r w:rsidRPr="00C02920">
        <w:rPr>
          <w:rFonts w:ascii="Times New Roman" w:hAnsi="Times New Roman" w:cs="Times New Roman"/>
        </w:rPr>
        <w:t xml:space="preserve">La logica e l’evidenza sembrerebbero essere quelle di continuare a fare teologia… partendo dalle verità </w:t>
      </w:r>
      <w:r w:rsidR="00133466">
        <w:rPr>
          <w:rFonts w:ascii="Times New Roman" w:hAnsi="Times New Roman" w:cs="Times New Roman"/>
        </w:rPr>
        <w:t>– soprattutto se rivelate –</w:t>
      </w:r>
      <w:r w:rsidRPr="00C02920">
        <w:rPr>
          <w:rFonts w:ascii="Times New Roman" w:hAnsi="Times New Roman" w:cs="Times New Roman"/>
        </w:rPr>
        <w:t>, da concetti, da credenze; nel fondo, partendo da una visione del mondo, dell’essere umano, della storia… Al contrario, l’oggetto proprio della teologia è un altro, l’esperienza religiosa espressa simbolicamente e il suo sapere, un sapere sull’esperienza e a partire da essa… una teologia post</w:t>
      </w:r>
      <w:r w:rsidR="00133466">
        <w:rPr>
          <w:rFonts w:ascii="Times New Roman" w:hAnsi="Times New Roman" w:cs="Times New Roman"/>
        </w:rPr>
        <w:t>-confessionale e post-religiosa</w:t>
      </w:r>
      <w:r w:rsidR="00133466">
        <w:rPr>
          <w:rStyle w:val="Rimandonotaapidipagina"/>
          <w:rFonts w:ascii="Times New Roman" w:hAnsi="Times New Roman" w:cs="Times New Roman"/>
        </w:rPr>
        <w:footnoteReference w:id="5"/>
      </w:r>
      <w:r w:rsidR="00133466">
        <w:rPr>
          <w:rFonts w:ascii="Times New Roman" w:hAnsi="Times New Roman" w:cs="Times New Roman"/>
        </w:rPr>
        <w:t>.</w:t>
      </w:r>
    </w:p>
    <w:p w:rsidR="00C02920" w:rsidRDefault="00C02920" w:rsidP="00C02920">
      <w:pPr>
        <w:spacing w:after="0" w:line="240" w:lineRule="auto"/>
        <w:ind w:right="170"/>
        <w:jc w:val="both"/>
        <w:rPr>
          <w:rFonts w:ascii="Times New Roman" w:hAnsi="Times New Roman" w:cs="Times New Roman"/>
        </w:rPr>
      </w:pPr>
    </w:p>
    <w:p w:rsidR="00C02920" w:rsidRDefault="00C02920" w:rsidP="00C02920">
      <w:pPr>
        <w:spacing w:after="0" w:line="240" w:lineRule="auto"/>
        <w:ind w:right="170"/>
        <w:jc w:val="both"/>
        <w:rPr>
          <w:rFonts w:ascii="Times New Roman" w:hAnsi="Times New Roman" w:cs="Times New Roman"/>
          <w:sz w:val="24"/>
          <w:szCs w:val="24"/>
        </w:rPr>
      </w:pPr>
      <w:r>
        <w:rPr>
          <w:rFonts w:ascii="Times New Roman" w:hAnsi="Times New Roman" w:cs="Times New Roman"/>
          <w:sz w:val="24"/>
          <w:szCs w:val="24"/>
        </w:rPr>
        <w:t xml:space="preserve">Verifichiamo quale tipo di teologia ne deriva con un testo </w:t>
      </w:r>
      <w:r w:rsidR="00075F45">
        <w:rPr>
          <w:rFonts w:ascii="Times New Roman" w:hAnsi="Times New Roman" w:cs="Times New Roman"/>
          <w:sz w:val="24"/>
          <w:szCs w:val="24"/>
        </w:rPr>
        <w:t xml:space="preserve">molto lucido e sintetico </w:t>
      </w:r>
      <w:r>
        <w:rPr>
          <w:rFonts w:ascii="Times New Roman" w:hAnsi="Times New Roman" w:cs="Times New Roman"/>
          <w:sz w:val="24"/>
          <w:szCs w:val="24"/>
        </w:rPr>
        <w:t xml:space="preserve">di </w:t>
      </w:r>
      <w:r w:rsidR="00CB3F23">
        <w:rPr>
          <w:rFonts w:ascii="Times New Roman" w:hAnsi="Times New Roman" w:cs="Times New Roman"/>
          <w:sz w:val="24"/>
          <w:szCs w:val="24"/>
        </w:rPr>
        <w:t xml:space="preserve">J. Maria </w:t>
      </w:r>
      <w:proofErr w:type="spellStart"/>
      <w:r w:rsidR="00CB3F23">
        <w:rPr>
          <w:rFonts w:ascii="Times New Roman" w:hAnsi="Times New Roman" w:cs="Times New Roman"/>
          <w:sz w:val="24"/>
          <w:szCs w:val="24"/>
        </w:rPr>
        <w:t>Vigil</w:t>
      </w:r>
      <w:proofErr w:type="spellEnd"/>
      <w:r w:rsidR="00075F45">
        <w:rPr>
          <w:rStyle w:val="Rimandonotaapidipagina"/>
          <w:rFonts w:ascii="Times New Roman" w:hAnsi="Times New Roman" w:cs="Times New Roman"/>
          <w:sz w:val="24"/>
          <w:szCs w:val="24"/>
        </w:rPr>
        <w:footnoteReference w:id="6"/>
      </w:r>
      <w:r w:rsidR="00075F45">
        <w:rPr>
          <w:rFonts w:ascii="Times New Roman" w:hAnsi="Times New Roman" w:cs="Times New Roman"/>
          <w:sz w:val="24"/>
          <w:szCs w:val="24"/>
        </w:rPr>
        <w:t>:</w:t>
      </w:r>
    </w:p>
    <w:p w:rsidR="00075F45" w:rsidRPr="00C27332" w:rsidRDefault="00075F45" w:rsidP="00C27332">
      <w:pPr>
        <w:spacing w:after="0" w:line="240" w:lineRule="auto"/>
        <w:ind w:left="170" w:right="170"/>
        <w:jc w:val="both"/>
        <w:rPr>
          <w:rFonts w:ascii="Times New Roman" w:hAnsi="Times New Roman" w:cs="Times New Roman"/>
        </w:rPr>
      </w:pPr>
    </w:p>
    <w:p w:rsidR="00075F45" w:rsidRPr="00C27332" w:rsidRDefault="00075F45" w:rsidP="00C27332">
      <w:pPr>
        <w:spacing w:after="0" w:line="240" w:lineRule="auto"/>
        <w:ind w:left="170" w:right="170"/>
        <w:jc w:val="both"/>
        <w:rPr>
          <w:rFonts w:ascii="Times New Roman" w:hAnsi="Times New Roman" w:cs="Times New Roman"/>
        </w:rPr>
      </w:pPr>
      <w:r w:rsidRPr="00C27332">
        <w:rPr>
          <w:rFonts w:ascii="Times New Roman" w:hAnsi="Times New Roman" w:cs="Times New Roman"/>
        </w:rPr>
        <w:t>Nella nostra modesta opinione questa teologia [del futuro] avrà le seguenti caratteristiche:</w:t>
      </w:r>
    </w:p>
    <w:p w:rsidR="00075F45" w:rsidRPr="00C27332" w:rsidRDefault="00C27332" w:rsidP="00C27332">
      <w:pPr>
        <w:spacing w:after="0" w:line="240" w:lineRule="auto"/>
        <w:ind w:left="170" w:right="170"/>
        <w:jc w:val="both"/>
        <w:rPr>
          <w:rFonts w:ascii="Times New Roman" w:hAnsi="Times New Roman" w:cs="Times New Roman"/>
        </w:rPr>
      </w:pPr>
      <w:r>
        <w:rPr>
          <w:rFonts w:ascii="Times New Roman" w:hAnsi="Times New Roman" w:cs="Times New Roman"/>
        </w:rPr>
        <w:t>-</w:t>
      </w:r>
      <w:r w:rsidR="00075F45" w:rsidRPr="00C27332">
        <w:rPr>
          <w:rFonts w:ascii="Times New Roman" w:hAnsi="Times New Roman" w:cs="Times New Roman"/>
        </w:rPr>
        <w:t>non sarà più una teologia che ponga l’accento sul “</w:t>
      </w:r>
      <w:proofErr w:type="spellStart"/>
      <w:r w:rsidR="00075F45" w:rsidRPr="00C27332">
        <w:rPr>
          <w:rFonts w:ascii="Times New Roman" w:hAnsi="Times New Roman" w:cs="Times New Roman"/>
        </w:rPr>
        <w:t>teo</w:t>
      </w:r>
      <w:proofErr w:type="spellEnd"/>
      <w:r w:rsidR="00075F45" w:rsidRPr="00C27332">
        <w:rPr>
          <w:rFonts w:ascii="Times New Roman" w:hAnsi="Times New Roman" w:cs="Times New Roman"/>
        </w:rPr>
        <w:t>”, perché sembra aumentare sempre più la consapevolezza, in tutte le latitudini, che il teismo è un modello di comprensione/espressione della nostra concezione della divinità, non una descrizione certa – e meno ancora imprescindibile – della “Realtà ultima”;</w:t>
      </w:r>
    </w:p>
    <w:p w:rsidR="00075F45" w:rsidRPr="00C27332" w:rsidRDefault="00C27332" w:rsidP="00C27332">
      <w:pPr>
        <w:spacing w:after="0" w:line="240" w:lineRule="auto"/>
        <w:ind w:left="170" w:right="170"/>
        <w:jc w:val="both"/>
        <w:rPr>
          <w:rFonts w:ascii="Times New Roman" w:hAnsi="Times New Roman" w:cs="Times New Roman"/>
        </w:rPr>
      </w:pPr>
      <w:r>
        <w:rPr>
          <w:rFonts w:ascii="Times New Roman" w:hAnsi="Times New Roman" w:cs="Times New Roman"/>
        </w:rPr>
        <w:t>-</w:t>
      </w:r>
      <w:r w:rsidR="00075F45" w:rsidRPr="00C27332">
        <w:rPr>
          <w:rFonts w:ascii="Times New Roman" w:hAnsi="Times New Roman" w:cs="Times New Roman"/>
        </w:rPr>
        <w:t>non sarà neppure, con troppo entusiasmo, “logia”, perché a questo punto abbiamo già scoperto a livello mondiale le deficienze della unilateralità del discorso razionale che esalta il “logos” a scapito di altre dimensioni più sottili della conoscenza umana;</w:t>
      </w:r>
    </w:p>
    <w:p w:rsidR="00075F45" w:rsidRPr="00C27332" w:rsidRDefault="00C27332" w:rsidP="00C27332">
      <w:pPr>
        <w:spacing w:after="0" w:line="240" w:lineRule="auto"/>
        <w:ind w:left="170" w:right="170"/>
        <w:jc w:val="both"/>
        <w:rPr>
          <w:rFonts w:ascii="Times New Roman" w:hAnsi="Times New Roman" w:cs="Times New Roman"/>
        </w:rPr>
      </w:pPr>
      <w:r>
        <w:rPr>
          <w:rFonts w:ascii="Times New Roman" w:hAnsi="Times New Roman" w:cs="Times New Roman"/>
        </w:rPr>
        <w:t>-</w:t>
      </w:r>
      <w:r w:rsidR="00356989" w:rsidRPr="00C27332">
        <w:rPr>
          <w:rFonts w:ascii="Times New Roman" w:hAnsi="Times New Roman" w:cs="Times New Roman"/>
        </w:rPr>
        <w:t>sarà confessionale quando servirà – per il servizio teologico all’interno dei ministeri o ambiti di una determinata religione, ovviamente – ma saprà essere all’occorrenza anche non confessio</w:t>
      </w:r>
      <w:bookmarkStart w:id="0" w:name="_GoBack"/>
      <w:bookmarkEnd w:id="0"/>
      <w:r w:rsidR="00356989" w:rsidRPr="00C27332">
        <w:rPr>
          <w:rFonts w:ascii="Times New Roman" w:hAnsi="Times New Roman" w:cs="Times New Roman"/>
        </w:rPr>
        <w:t>nale, ecumenica e sopra-confessionale, in funzione del pubblico a cui si rivolge e dell’ambito in cui si inscrive;</w:t>
      </w:r>
    </w:p>
    <w:p w:rsidR="00356989" w:rsidRPr="00C27332" w:rsidRDefault="00C27332" w:rsidP="00C27332">
      <w:pPr>
        <w:spacing w:after="0" w:line="240" w:lineRule="auto"/>
        <w:ind w:left="170" w:right="170"/>
        <w:jc w:val="both"/>
        <w:rPr>
          <w:rFonts w:ascii="Times New Roman" w:hAnsi="Times New Roman" w:cs="Times New Roman"/>
        </w:rPr>
      </w:pPr>
      <w:r>
        <w:rPr>
          <w:rFonts w:ascii="Times New Roman" w:hAnsi="Times New Roman" w:cs="Times New Roman"/>
        </w:rPr>
        <w:t>-</w:t>
      </w:r>
      <w:r w:rsidR="00356989" w:rsidRPr="00C27332">
        <w:rPr>
          <w:rFonts w:ascii="Times New Roman" w:hAnsi="Times New Roman" w:cs="Times New Roman"/>
        </w:rPr>
        <w:t>sarà, in ogni caso, pluralista, cioè avrà superato il complesso di superiorità religiosa di cui hanno sofferto quasi tutte le religioni del mondo, un complesso che le ha portate e ritenersi direttamente divine, l’unica religione valida del mondo; oggi, di fronte all’evidenza che tutte le religioni sono lampi della ricchezza infinita della realtà ultima, percepiranno che il pluralismo religioso è ciò che “è voluto da Dio” piuttosto che una male da combattere;</w:t>
      </w:r>
    </w:p>
    <w:p w:rsidR="00356989" w:rsidRPr="00C27332" w:rsidRDefault="00C27332" w:rsidP="00C27332">
      <w:pPr>
        <w:spacing w:after="0" w:line="240" w:lineRule="auto"/>
        <w:ind w:left="170" w:right="170"/>
        <w:jc w:val="both"/>
        <w:rPr>
          <w:rFonts w:ascii="Times New Roman" w:hAnsi="Times New Roman" w:cs="Times New Roman"/>
        </w:rPr>
      </w:pPr>
      <w:r>
        <w:rPr>
          <w:rFonts w:ascii="Times New Roman" w:hAnsi="Times New Roman" w:cs="Times New Roman"/>
        </w:rPr>
        <w:t>-</w:t>
      </w:r>
      <w:r w:rsidR="00356989" w:rsidRPr="00C27332">
        <w:rPr>
          <w:rFonts w:ascii="Times New Roman" w:hAnsi="Times New Roman" w:cs="Times New Roman"/>
        </w:rPr>
        <w:t>anche quando sarà confessionale, dovrà essere certamente sempre di più una teologia comparativa: nella società plurale, dovrà farsi carico della parola delle altre religioni, assumendone la ricchezza plurale, più che restandosene entra ristretti limiti autoreferenziali, con le risposte unicamente della propria religione;</w:t>
      </w:r>
    </w:p>
    <w:p w:rsidR="00C27332" w:rsidRPr="00C27332" w:rsidRDefault="00356989" w:rsidP="00C27332">
      <w:pPr>
        <w:spacing w:after="0" w:line="240" w:lineRule="auto"/>
        <w:ind w:left="170" w:right="170"/>
        <w:jc w:val="both"/>
        <w:rPr>
          <w:rFonts w:ascii="Times New Roman" w:hAnsi="Times New Roman" w:cs="Times New Roman"/>
        </w:rPr>
      </w:pPr>
      <w:r w:rsidRPr="00C27332">
        <w:rPr>
          <w:rFonts w:ascii="Times New Roman" w:hAnsi="Times New Roman" w:cs="Times New Roman"/>
        </w:rPr>
        <w:t xml:space="preserve">ma più che semplicemente comparativa sarà molte volte interreligiosa, </w:t>
      </w:r>
      <w:r w:rsidRPr="00C27332">
        <w:rPr>
          <w:rFonts w:ascii="Times New Roman" w:hAnsi="Times New Roman" w:cs="Times New Roman"/>
          <w:i/>
        </w:rPr>
        <w:t>inter-</w:t>
      </w:r>
      <w:proofErr w:type="spellStart"/>
      <w:r w:rsidRPr="00C27332">
        <w:rPr>
          <w:rFonts w:ascii="Times New Roman" w:hAnsi="Times New Roman" w:cs="Times New Roman"/>
          <w:i/>
        </w:rPr>
        <w:t>faith</w:t>
      </w:r>
      <w:proofErr w:type="spellEnd"/>
      <w:r w:rsidRPr="00C27332">
        <w:rPr>
          <w:rFonts w:ascii="Times New Roman" w:hAnsi="Times New Roman" w:cs="Times New Roman"/>
        </w:rPr>
        <w:t xml:space="preserve">, inter-credente, multi-religiosa, multi-fede… (è ancora prematura un vocabolario definitivo). Per quanto oggi questa teologia interreligiosa appaia a molti impossibile, per altri è una possibilità in atto. Non è assolutamente eccezionale l’esperienza di doppia o multipla appartenenza religiosa, sebbene per molti sia inimmaginabile. </w:t>
      </w:r>
      <w:r w:rsidR="00C27332" w:rsidRPr="00C27332">
        <w:rPr>
          <w:rFonts w:ascii="Times New Roman" w:hAnsi="Times New Roman" w:cs="Times New Roman"/>
        </w:rPr>
        <w:t>Quanti la sperimentano sono in condizioni di elaborare questo tipo di teologia e sono già in corso delle esperienze, provvisorie ma promettenti;</w:t>
      </w:r>
    </w:p>
    <w:p w:rsidR="00356989" w:rsidRPr="00C27332" w:rsidRDefault="00C27332" w:rsidP="00C27332">
      <w:pPr>
        <w:spacing w:after="0" w:line="240" w:lineRule="auto"/>
        <w:ind w:left="170" w:right="170"/>
        <w:jc w:val="both"/>
        <w:rPr>
          <w:rFonts w:ascii="Times New Roman" w:hAnsi="Times New Roman" w:cs="Times New Roman"/>
        </w:rPr>
      </w:pPr>
      <w:r>
        <w:rPr>
          <w:rFonts w:ascii="Times New Roman" w:hAnsi="Times New Roman" w:cs="Times New Roman"/>
        </w:rPr>
        <w:t>-</w:t>
      </w:r>
      <w:r w:rsidRPr="00C27332">
        <w:rPr>
          <w:rFonts w:ascii="Times New Roman" w:hAnsi="Times New Roman" w:cs="Times New Roman"/>
        </w:rPr>
        <w:t>se potrà essere non confessionale, è ovvio che potrà essere “laica”, non ufficiale, né clericale, né appartenente ad alcuna istituzione religiosa. Chi sappia aprire gli occhi scoprirà probabilmente che questa teologia è già in corso e che si fa strada, molte volte senza questo nome. Non è una teologia convenzionale, che lavora in maniera confessionale, ma una teologia che intende semplicemente “umanizzare l’umanità”;</w:t>
      </w:r>
    </w:p>
    <w:p w:rsidR="00C27332" w:rsidRPr="00C27332" w:rsidRDefault="00C27332" w:rsidP="00C27332">
      <w:pPr>
        <w:spacing w:after="0" w:line="240" w:lineRule="auto"/>
        <w:ind w:left="170" w:right="170"/>
        <w:jc w:val="both"/>
        <w:rPr>
          <w:rFonts w:ascii="Times New Roman" w:hAnsi="Times New Roman" w:cs="Times New Roman"/>
        </w:rPr>
      </w:pPr>
      <w:r>
        <w:rPr>
          <w:rFonts w:ascii="Times New Roman" w:hAnsi="Times New Roman" w:cs="Times New Roman"/>
        </w:rPr>
        <w:t>-</w:t>
      </w:r>
      <w:r w:rsidRPr="00C27332">
        <w:rPr>
          <w:rFonts w:ascii="Times New Roman" w:hAnsi="Times New Roman" w:cs="Times New Roman"/>
        </w:rPr>
        <w:t xml:space="preserve">dai tempi della teologia della liberazione, credo che la qualifica “liberatrice” non sia facoltativa, ma essenziale: non c’è teologia se non è liberatrice. Ma la vecchia forma della teologia della liberazione deve fecondarsi e lo sta già facendo – con nuovi paradigmi che le sono succeduti nel tempo. Non può continuare ad essere </w:t>
      </w:r>
      <w:proofErr w:type="spellStart"/>
      <w:r w:rsidRPr="00C27332">
        <w:rPr>
          <w:rFonts w:ascii="Times New Roman" w:hAnsi="Times New Roman" w:cs="Times New Roman"/>
        </w:rPr>
        <w:t>inclusivista</w:t>
      </w:r>
      <w:proofErr w:type="spellEnd"/>
      <w:r w:rsidRPr="00C27332">
        <w:rPr>
          <w:rFonts w:ascii="Times New Roman" w:hAnsi="Times New Roman" w:cs="Times New Roman"/>
        </w:rPr>
        <w:t>, come è stata originariamente, non per volontà esplicita, ma in maniera inconsapevole. Non potrà neppure essere tanto antropocentrica come è stata, anche involontariamente; ora dovrà essere cosmo-centrica, per umanizzare l’umanità e il pianeta da una prospettiva di eco-giustizia.</w:t>
      </w:r>
    </w:p>
    <w:p w:rsidR="00C27332" w:rsidRPr="00075F45" w:rsidRDefault="00C27332" w:rsidP="00075F45">
      <w:pPr>
        <w:spacing w:after="0" w:line="240" w:lineRule="auto"/>
        <w:ind w:right="170"/>
        <w:jc w:val="both"/>
        <w:rPr>
          <w:rFonts w:ascii="Times New Roman" w:hAnsi="Times New Roman" w:cs="Times New Roman"/>
          <w:sz w:val="24"/>
          <w:szCs w:val="24"/>
        </w:rPr>
      </w:pPr>
    </w:p>
    <w:p w:rsidR="00075F45" w:rsidRPr="00C02920" w:rsidRDefault="00C27332" w:rsidP="00C02920">
      <w:pPr>
        <w:spacing w:after="0" w:line="240" w:lineRule="auto"/>
        <w:ind w:right="170"/>
        <w:jc w:val="both"/>
        <w:rPr>
          <w:rFonts w:ascii="Times New Roman" w:hAnsi="Times New Roman" w:cs="Times New Roman"/>
          <w:sz w:val="24"/>
          <w:szCs w:val="24"/>
        </w:rPr>
      </w:pPr>
      <w:r>
        <w:rPr>
          <w:rFonts w:ascii="Times New Roman" w:hAnsi="Times New Roman" w:cs="Times New Roman"/>
          <w:sz w:val="24"/>
          <w:szCs w:val="24"/>
        </w:rPr>
        <w:t>La teologia ha un futuro promettente</w:t>
      </w:r>
      <w:r w:rsidR="00A52715">
        <w:rPr>
          <w:rFonts w:ascii="Times New Roman" w:hAnsi="Times New Roman" w:cs="Times New Roman"/>
          <w:sz w:val="24"/>
          <w:szCs w:val="24"/>
        </w:rPr>
        <w:t>,</w:t>
      </w:r>
      <w:r>
        <w:rPr>
          <w:rFonts w:ascii="Times New Roman" w:hAnsi="Times New Roman" w:cs="Times New Roman"/>
          <w:sz w:val="24"/>
          <w:szCs w:val="24"/>
        </w:rPr>
        <w:t xml:space="preserve"> perché fecondato da nuovi paradigmi e da tante esperienze diverse e ricche</w:t>
      </w:r>
      <w:r w:rsidR="00A52715">
        <w:rPr>
          <w:rFonts w:ascii="Times New Roman" w:hAnsi="Times New Roman" w:cs="Times New Roman"/>
          <w:sz w:val="24"/>
          <w:szCs w:val="24"/>
        </w:rPr>
        <w:t>, che non riusciamo neppure ad immaginare. Ci saranno cambiamenti radicali che sorprenderanno chi si vuole lasciare affascinare ancora dall’inquietudine radicale dell’essere umano religioso, che cerca sempre di comprendere in modo nuovo la sua religione.</w:t>
      </w:r>
    </w:p>
    <w:sectPr w:rsidR="00075F45" w:rsidRPr="00C029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B56" w:rsidRDefault="00FF3B56" w:rsidP="007644A5">
      <w:pPr>
        <w:spacing w:after="0" w:line="240" w:lineRule="auto"/>
      </w:pPr>
      <w:r>
        <w:separator/>
      </w:r>
    </w:p>
  </w:endnote>
  <w:endnote w:type="continuationSeparator" w:id="0">
    <w:p w:rsidR="00FF3B56" w:rsidRDefault="00FF3B56" w:rsidP="0076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B56" w:rsidRDefault="00FF3B56" w:rsidP="007644A5">
      <w:pPr>
        <w:spacing w:after="0" w:line="240" w:lineRule="auto"/>
      </w:pPr>
      <w:r>
        <w:separator/>
      </w:r>
    </w:p>
  </w:footnote>
  <w:footnote w:type="continuationSeparator" w:id="0">
    <w:p w:rsidR="00FF3B56" w:rsidRDefault="00FF3B56" w:rsidP="007644A5">
      <w:pPr>
        <w:spacing w:after="0" w:line="240" w:lineRule="auto"/>
      </w:pPr>
      <w:r>
        <w:continuationSeparator/>
      </w:r>
    </w:p>
  </w:footnote>
  <w:footnote w:id="1">
    <w:p w:rsidR="007644A5" w:rsidRDefault="007644A5" w:rsidP="007644A5">
      <w:pPr>
        <w:pStyle w:val="Testonotaapidipagina"/>
        <w:jc w:val="both"/>
      </w:pPr>
      <w:r>
        <w:rPr>
          <w:rStyle w:val="Rimandonotaapidipagina"/>
        </w:rPr>
        <w:footnoteRef/>
      </w:r>
      <w:r>
        <w:t xml:space="preserve"> </w:t>
      </w:r>
      <w:r w:rsidRPr="00FA6FA4">
        <w:rPr>
          <w:smallCaps/>
        </w:rPr>
        <w:t>G. Angelini</w:t>
      </w:r>
      <w:r>
        <w:t xml:space="preserve">, </w:t>
      </w:r>
      <w:r w:rsidRPr="0041780B">
        <w:rPr>
          <w:i/>
        </w:rPr>
        <w:t>Diversità «in materia di fede e di costumi»: le strutture della coscienza «religiosa» contemporanea e le scelta della «fede»</w:t>
      </w:r>
      <w:r>
        <w:t xml:space="preserve">, in </w:t>
      </w:r>
      <w:r w:rsidRPr="0041780B">
        <w:rPr>
          <w:i/>
        </w:rPr>
        <w:t>Cristianesimo e religione</w:t>
      </w:r>
      <w:r>
        <w:t>, Glossa, Milano 1992, 15-50.</w:t>
      </w:r>
    </w:p>
  </w:footnote>
  <w:footnote w:id="2">
    <w:p w:rsidR="007644A5" w:rsidRDefault="007644A5" w:rsidP="007644A5">
      <w:pPr>
        <w:pStyle w:val="Testonotaapidipagina"/>
        <w:jc w:val="both"/>
      </w:pPr>
      <w:r>
        <w:rPr>
          <w:rStyle w:val="Rimandonotaapidipagina"/>
        </w:rPr>
        <w:footnoteRef/>
      </w:r>
      <w:r>
        <w:t xml:space="preserve"> L’esecuzione più coerente di questo progetto si trova nelle diverse proposte di </w:t>
      </w:r>
      <w:r w:rsidRPr="00067FE8">
        <w:rPr>
          <w:smallCaps/>
        </w:rPr>
        <w:t xml:space="preserve">H. </w:t>
      </w:r>
      <w:proofErr w:type="spellStart"/>
      <w:r w:rsidRPr="00067FE8">
        <w:rPr>
          <w:smallCaps/>
        </w:rPr>
        <w:t>Küng</w:t>
      </w:r>
      <w:proofErr w:type="spellEnd"/>
      <w:r>
        <w:t xml:space="preserve">, </w:t>
      </w:r>
      <w:r w:rsidRPr="00067FE8">
        <w:rPr>
          <w:i/>
        </w:rPr>
        <w:t>Progetto per un’etica mondiale</w:t>
      </w:r>
      <w:r>
        <w:t xml:space="preserve">, Milano, Mondadori, 1991; </w:t>
      </w:r>
      <w:r w:rsidRPr="00067FE8">
        <w:rPr>
          <w:i/>
        </w:rPr>
        <w:t>Cristianesimo e religioni universali</w:t>
      </w:r>
      <w:r>
        <w:t xml:space="preserve">, Milano, Mondadori, 1986; </w:t>
      </w:r>
      <w:r w:rsidRPr="00067FE8">
        <w:rPr>
          <w:i/>
        </w:rPr>
        <w:t>Per una teologia ecumenica delle religioni. Tesi di chiarimento</w:t>
      </w:r>
      <w:r>
        <w:t>, in «</w:t>
      </w:r>
      <w:proofErr w:type="spellStart"/>
      <w:r>
        <w:t>Concilium</w:t>
      </w:r>
      <w:proofErr w:type="spellEnd"/>
      <w:r>
        <w:t xml:space="preserve">» 1 (1986) 156-165; </w:t>
      </w:r>
      <w:r w:rsidRPr="00067FE8">
        <w:rPr>
          <w:i/>
        </w:rPr>
        <w:t xml:space="preserve">Perché un’etica mondiale? Religione ed etica in tempi di globalizzazione. Intervista con J. </w:t>
      </w:r>
      <w:proofErr w:type="spellStart"/>
      <w:r w:rsidRPr="00067FE8">
        <w:rPr>
          <w:i/>
        </w:rPr>
        <w:t>Hoeren</w:t>
      </w:r>
      <w:proofErr w:type="spellEnd"/>
      <w:r>
        <w:t xml:space="preserve">, Queriniana, Brescia 2004. </w:t>
      </w:r>
    </w:p>
  </w:footnote>
  <w:footnote w:id="3">
    <w:p w:rsidR="007644A5" w:rsidRDefault="007644A5" w:rsidP="007644A5">
      <w:pPr>
        <w:pStyle w:val="Testonotaapidipagina"/>
        <w:jc w:val="both"/>
      </w:pPr>
      <w:r>
        <w:rPr>
          <w:rStyle w:val="Rimandonotaapidipagina"/>
        </w:rPr>
        <w:footnoteRef/>
      </w:r>
      <w:r>
        <w:t xml:space="preserve"> Denuncia l’ambiguità di quest’impostazione </w:t>
      </w:r>
      <w:r w:rsidRPr="00EE7085">
        <w:rPr>
          <w:smallCaps/>
        </w:rPr>
        <w:t>J. Ratzinger</w:t>
      </w:r>
      <w:r>
        <w:t xml:space="preserve">, </w:t>
      </w:r>
      <w:r w:rsidRPr="00EE7085">
        <w:rPr>
          <w:i/>
        </w:rPr>
        <w:t>Fede Verità Tolleranza: il cristianesimo e le religioni</w:t>
      </w:r>
      <w:r>
        <w:t xml:space="preserve">, </w:t>
      </w:r>
      <w:proofErr w:type="spellStart"/>
      <w:r>
        <w:t>Cantagalli</w:t>
      </w:r>
      <w:proofErr w:type="spellEnd"/>
      <w:r>
        <w:t>, Siena 2003.</w:t>
      </w:r>
    </w:p>
  </w:footnote>
  <w:footnote w:id="4">
    <w:p w:rsidR="007644A5" w:rsidRDefault="007644A5" w:rsidP="007644A5">
      <w:pPr>
        <w:pStyle w:val="Testonotaapidipagina"/>
        <w:jc w:val="both"/>
      </w:pPr>
      <w:r>
        <w:rPr>
          <w:rStyle w:val="Rimandonotaapidipagina"/>
        </w:rPr>
        <w:footnoteRef/>
      </w:r>
      <w:r>
        <w:t xml:space="preserve"> In questa direzione è significativo lo spostamento di accento nella </w:t>
      </w:r>
      <w:proofErr w:type="spellStart"/>
      <w:r>
        <w:t>TdR</w:t>
      </w:r>
      <w:proofErr w:type="spellEnd"/>
      <w:r>
        <w:t xml:space="preserve"> degli ultimi anni. Mentre </w:t>
      </w:r>
      <w:r w:rsidRPr="0069551A">
        <w:rPr>
          <w:smallCaps/>
        </w:rPr>
        <w:t xml:space="preserve">M. </w:t>
      </w:r>
      <w:proofErr w:type="spellStart"/>
      <w:r w:rsidRPr="0069551A">
        <w:rPr>
          <w:smallCaps/>
        </w:rPr>
        <w:t>Seckler</w:t>
      </w:r>
      <w:proofErr w:type="spellEnd"/>
      <w:r>
        <w:t xml:space="preserve"> </w:t>
      </w:r>
      <w:r w:rsidRPr="00810B6C">
        <w:rPr>
          <w:i/>
        </w:rPr>
        <w:t>Il concetto teologico di religione</w:t>
      </w:r>
      <w:r>
        <w:t xml:space="preserve">, in </w:t>
      </w:r>
      <w:r w:rsidRPr="00810B6C">
        <w:rPr>
          <w:i/>
        </w:rPr>
        <w:t>Corso di Teologia fondamentale 1</w:t>
      </w:r>
      <w:r>
        <w:t xml:space="preserve">, Queriniana, Brescia 1990 (originale tedesco del 1985), 203-206, dava per scontata l’impostazione teologico-dogmatica delle </w:t>
      </w:r>
      <w:proofErr w:type="spellStart"/>
      <w:r>
        <w:t>TdR</w:t>
      </w:r>
      <w:proofErr w:type="spellEnd"/>
      <w:r>
        <w:t xml:space="preserve">, mentre registrava incertezze metodologiche nella ricerca in ambito di teologia fondamentale di un concetto teologico di religione, </w:t>
      </w:r>
      <w:r w:rsidRPr="001B2805">
        <w:rPr>
          <w:smallCaps/>
        </w:rPr>
        <w:t>M. Crociata</w:t>
      </w:r>
      <w:r>
        <w:t xml:space="preserve">, </w:t>
      </w:r>
      <w:r w:rsidRPr="00810B6C">
        <w:rPr>
          <w:i/>
        </w:rPr>
        <w:t>Teologia delle religioni</w:t>
      </w:r>
      <w:r>
        <w:t>, S. Paolo, Cinisello 2001, 359-370, deve registrare una certa fatica ad elaborare criteri teologico-dogmatici per lo studio delle religioni.</w:t>
      </w:r>
    </w:p>
  </w:footnote>
  <w:footnote w:id="5">
    <w:p w:rsidR="00133466" w:rsidRDefault="00133466" w:rsidP="00133466">
      <w:pPr>
        <w:pStyle w:val="Testonotaapidipagina"/>
        <w:jc w:val="both"/>
      </w:pPr>
      <w:r>
        <w:rPr>
          <w:rStyle w:val="Rimandonotaapidipagina"/>
        </w:rPr>
        <w:footnoteRef/>
      </w:r>
      <w:r>
        <w:t xml:space="preserve"> </w:t>
      </w:r>
      <w:r w:rsidRPr="00133466">
        <w:rPr>
          <w:smallCaps/>
        </w:rPr>
        <w:t xml:space="preserve">J.A. </w:t>
      </w:r>
      <w:proofErr w:type="spellStart"/>
      <w:r w:rsidRPr="00133466">
        <w:rPr>
          <w:smallCaps/>
        </w:rPr>
        <w:t>Robles</w:t>
      </w:r>
      <w:proofErr w:type="spellEnd"/>
      <w:r>
        <w:t>,</w:t>
      </w:r>
      <w:r w:rsidRPr="00C02920">
        <w:t xml:space="preserve"> </w:t>
      </w:r>
      <w:r>
        <w:rPr>
          <w:i/>
          <w:iCs/>
        </w:rPr>
        <w:t>Verso una teologia post-confessionale e post-religiosa</w:t>
      </w:r>
      <w:r>
        <w:rPr>
          <w:iCs/>
        </w:rPr>
        <w:t xml:space="preserve">, in </w:t>
      </w:r>
      <w:r>
        <w:rPr>
          <w:i/>
          <w:iCs/>
        </w:rPr>
        <w:t xml:space="preserve">Per i molti cammini di Dio V: </w:t>
      </w:r>
      <w:r w:rsidRPr="00133466">
        <w:rPr>
          <w:i/>
          <w:iCs/>
        </w:rPr>
        <w:t>V</w:t>
      </w:r>
      <w:r w:rsidRPr="00C02920">
        <w:rPr>
          <w:i/>
          <w:iCs/>
        </w:rPr>
        <w:t>erso una teologia pluralista, interreligiosa, laica e planetaria,</w:t>
      </w:r>
      <w:r w:rsidRPr="00C02920">
        <w:t xml:space="preserve"> </w:t>
      </w:r>
      <w:proofErr w:type="spellStart"/>
      <w:r>
        <w:t>Pazzini</w:t>
      </w:r>
      <w:proofErr w:type="spellEnd"/>
      <w:r>
        <w:t xml:space="preserve"> editore, Villa Verucchio (RN) 2012, 203-210: qui 208-9. </w:t>
      </w:r>
    </w:p>
  </w:footnote>
  <w:footnote w:id="6">
    <w:p w:rsidR="00075F45" w:rsidRDefault="00075F45" w:rsidP="00075F45">
      <w:pPr>
        <w:pStyle w:val="Testonotaapidipagina"/>
        <w:jc w:val="both"/>
      </w:pPr>
      <w:r>
        <w:rPr>
          <w:rStyle w:val="Rimandonotaapidipagina"/>
        </w:rPr>
        <w:footnoteRef/>
      </w:r>
      <w:r>
        <w:t xml:space="preserve"> </w:t>
      </w:r>
      <w:r w:rsidRPr="00075F45">
        <w:rPr>
          <w:smallCaps/>
        </w:rPr>
        <w:t xml:space="preserve">J.M. </w:t>
      </w:r>
      <w:proofErr w:type="spellStart"/>
      <w:r w:rsidRPr="00075F45">
        <w:rPr>
          <w:smallCaps/>
        </w:rPr>
        <w:t>Vigil</w:t>
      </w:r>
      <w:proofErr w:type="spellEnd"/>
      <w:r>
        <w:t xml:space="preserve">, </w:t>
      </w:r>
      <w:r w:rsidRPr="00075F45">
        <w:rPr>
          <w:i/>
        </w:rPr>
        <w:t>Il seducente futuro della teologia</w:t>
      </w:r>
      <w:r w:rsidRPr="00075F45">
        <w:t xml:space="preserve">, in </w:t>
      </w:r>
      <w:r w:rsidRPr="00075F45">
        <w:rPr>
          <w:i/>
        </w:rPr>
        <w:t>Per i molti cammini di Dio V</w:t>
      </w:r>
      <w:r w:rsidRPr="00075F45">
        <w:t xml:space="preserve">: </w:t>
      </w:r>
      <w:r w:rsidRPr="00075F45">
        <w:rPr>
          <w:i/>
        </w:rPr>
        <w:t>verso una teologia pluralista, interreligiosa e laica</w:t>
      </w:r>
      <w:r w:rsidRPr="00075F45">
        <w:t xml:space="preserve">, </w:t>
      </w:r>
      <w:proofErr w:type="spellStart"/>
      <w:r w:rsidRPr="00075F45">
        <w:t>Pazzini</w:t>
      </w:r>
      <w:proofErr w:type="spellEnd"/>
      <w:r w:rsidRPr="00075F45">
        <w:t xml:space="preserve">, Villa Verucchio </w:t>
      </w:r>
      <w:r>
        <w:t xml:space="preserve">(RN) </w:t>
      </w:r>
      <w:r w:rsidRPr="00075F45">
        <w:t>2012, 250-251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86060"/>
    <w:multiLevelType w:val="hybridMultilevel"/>
    <w:tmpl w:val="812043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0C40DD6"/>
    <w:multiLevelType w:val="hybridMultilevel"/>
    <w:tmpl w:val="55923F22"/>
    <w:lvl w:ilvl="0" w:tplc="31C8174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8291F32"/>
    <w:multiLevelType w:val="hybridMultilevel"/>
    <w:tmpl w:val="55480F7C"/>
    <w:lvl w:ilvl="0" w:tplc="39AE230E">
      <w:numFmt w:val="bullet"/>
      <w:lvlText w:val="-"/>
      <w:lvlJc w:val="left"/>
      <w:pPr>
        <w:ind w:left="530" w:hanging="360"/>
      </w:pPr>
      <w:rPr>
        <w:rFonts w:ascii="Times New Roman" w:eastAsiaTheme="minorHAnsi" w:hAnsi="Times New Roman" w:cs="Times New Roman" w:hint="default"/>
      </w:rPr>
    </w:lvl>
    <w:lvl w:ilvl="1" w:tplc="04100003" w:tentative="1">
      <w:start w:val="1"/>
      <w:numFmt w:val="bullet"/>
      <w:lvlText w:val="o"/>
      <w:lvlJc w:val="left"/>
      <w:pPr>
        <w:ind w:left="1250" w:hanging="360"/>
      </w:pPr>
      <w:rPr>
        <w:rFonts w:ascii="Courier New" w:hAnsi="Courier New" w:cs="Courier New" w:hint="default"/>
      </w:rPr>
    </w:lvl>
    <w:lvl w:ilvl="2" w:tplc="04100005" w:tentative="1">
      <w:start w:val="1"/>
      <w:numFmt w:val="bullet"/>
      <w:lvlText w:val=""/>
      <w:lvlJc w:val="left"/>
      <w:pPr>
        <w:ind w:left="1970" w:hanging="360"/>
      </w:pPr>
      <w:rPr>
        <w:rFonts w:ascii="Wingdings" w:hAnsi="Wingdings" w:hint="default"/>
      </w:rPr>
    </w:lvl>
    <w:lvl w:ilvl="3" w:tplc="04100001" w:tentative="1">
      <w:start w:val="1"/>
      <w:numFmt w:val="bullet"/>
      <w:lvlText w:val=""/>
      <w:lvlJc w:val="left"/>
      <w:pPr>
        <w:ind w:left="2690" w:hanging="360"/>
      </w:pPr>
      <w:rPr>
        <w:rFonts w:ascii="Symbol" w:hAnsi="Symbol" w:hint="default"/>
      </w:rPr>
    </w:lvl>
    <w:lvl w:ilvl="4" w:tplc="04100003" w:tentative="1">
      <w:start w:val="1"/>
      <w:numFmt w:val="bullet"/>
      <w:lvlText w:val="o"/>
      <w:lvlJc w:val="left"/>
      <w:pPr>
        <w:ind w:left="3410" w:hanging="360"/>
      </w:pPr>
      <w:rPr>
        <w:rFonts w:ascii="Courier New" w:hAnsi="Courier New" w:cs="Courier New" w:hint="default"/>
      </w:rPr>
    </w:lvl>
    <w:lvl w:ilvl="5" w:tplc="04100005" w:tentative="1">
      <w:start w:val="1"/>
      <w:numFmt w:val="bullet"/>
      <w:lvlText w:val=""/>
      <w:lvlJc w:val="left"/>
      <w:pPr>
        <w:ind w:left="4130" w:hanging="360"/>
      </w:pPr>
      <w:rPr>
        <w:rFonts w:ascii="Wingdings" w:hAnsi="Wingdings" w:hint="default"/>
      </w:rPr>
    </w:lvl>
    <w:lvl w:ilvl="6" w:tplc="04100001" w:tentative="1">
      <w:start w:val="1"/>
      <w:numFmt w:val="bullet"/>
      <w:lvlText w:val=""/>
      <w:lvlJc w:val="left"/>
      <w:pPr>
        <w:ind w:left="4850" w:hanging="360"/>
      </w:pPr>
      <w:rPr>
        <w:rFonts w:ascii="Symbol" w:hAnsi="Symbol" w:hint="default"/>
      </w:rPr>
    </w:lvl>
    <w:lvl w:ilvl="7" w:tplc="04100003" w:tentative="1">
      <w:start w:val="1"/>
      <w:numFmt w:val="bullet"/>
      <w:lvlText w:val="o"/>
      <w:lvlJc w:val="left"/>
      <w:pPr>
        <w:ind w:left="5570" w:hanging="360"/>
      </w:pPr>
      <w:rPr>
        <w:rFonts w:ascii="Courier New" w:hAnsi="Courier New" w:cs="Courier New" w:hint="default"/>
      </w:rPr>
    </w:lvl>
    <w:lvl w:ilvl="8" w:tplc="04100005" w:tentative="1">
      <w:start w:val="1"/>
      <w:numFmt w:val="bullet"/>
      <w:lvlText w:val=""/>
      <w:lvlJc w:val="left"/>
      <w:pPr>
        <w:ind w:left="629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7D9"/>
    <w:rsid w:val="00075F45"/>
    <w:rsid w:val="00133466"/>
    <w:rsid w:val="00193A56"/>
    <w:rsid w:val="00356989"/>
    <w:rsid w:val="004449B9"/>
    <w:rsid w:val="00473FE9"/>
    <w:rsid w:val="005460A8"/>
    <w:rsid w:val="006777D9"/>
    <w:rsid w:val="007644A5"/>
    <w:rsid w:val="00A52715"/>
    <w:rsid w:val="00C02920"/>
    <w:rsid w:val="00C05B52"/>
    <w:rsid w:val="00C06EE8"/>
    <w:rsid w:val="00C27332"/>
    <w:rsid w:val="00C62E2C"/>
    <w:rsid w:val="00CB3F23"/>
    <w:rsid w:val="00DE23AF"/>
    <w:rsid w:val="00FC4936"/>
    <w:rsid w:val="00FF3B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77D9"/>
    <w:pPr>
      <w:ind w:left="720"/>
      <w:contextualSpacing/>
    </w:pPr>
  </w:style>
  <w:style w:type="paragraph" w:styleId="Testonotaapidipagina">
    <w:name w:val="footnote text"/>
    <w:basedOn w:val="Normale"/>
    <w:link w:val="TestonotaapidipaginaCarattere"/>
    <w:semiHidden/>
    <w:rsid w:val="007644A5"/>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644A5"/>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7644A5"/>
    <w:rPr>
      <w:vertAlign w:val="superscript"/>
    </w:rPr>
  </w:style>
  <w:style w:type="paragraph" w:styleId="Citazione">
    <w:name w:val="Quote"/>
    <w:basedOn w:val="Normale"/>
    <w:next w:val="Corpotesto"/>
    <w:link w:val="CitazioneCarattere"/>
    <w:qFormat/>
    <w:rsid w:val="007644A5"/>
    <w:pPr>
      <w:tabs>
        <w:tab w:val="right" w:pos="284"/>
      </w:tabs>
      <w:spacing w:before="180" w:after="180" w:line="250" w:lineRule="exact"/>
      <w:ind w:left="284"/>
      <w:jc w:val="both"/>
    </w:pPr>
    <w:rPr>
      <w:rFonts w:ascii="Times New Roman" w:eastAsia="Times New Roman" w:hAnsi="Times New Roman" w:cs="Times New Roman"/>
      <w:sz w:val="25"/>
      <w:szCs w:val="20"/>
      <w:lang w:eastAsia="it-IT"/>
    </w:rPr>
  </w:style>
  <w:style w:type="character" w:customStyle="1" w:styleId="CitazioneCarattere">
    <w:name w:val="Citazione Carattere"/>
    <w:basedOn w:val="Carpredefinitoparagrafo"/>
    <w:link w:val="Citazione"/>
    <w:rsid w:val="007644A5"/>
    <w:rPr>
      <w:rFonts w:ascii="Times New Roman" w:eastAsia="Times New Roman" w:hAnsi="Times New Roman" w:cs="Times New Roman"/>
      <w:sz w:val="25"/>
      <w:szCs w:val="20"/>
      <w:lang w:eastAsia="it-IT"/>
    </w:rPr>
  </w:style>
  <w:style w:type="paragraph" w:styleId="Corpotesto">
    <w:name w:val="Body Text"/>
    <w:basedOn w:val="Normale"/>
    <w:link w:val="CorpotestoCarattere"/>
    <w:uiPriority w:val="99"/>
    <w:semiHidden/>
    <w:unhideWhenUsed/>
    <w:rsid w:val="007644A5"/>
    <w:pPr>
      <w:spacing w:after="120"/>
    </w:pPr>
  </w:style>
  <w:style w:type="character" w:customStyle="1" w:styleId="CorpotestoCarattere">
    <w:name w:val="Corpo testo Carattere"/>
    <w:basedOn w:val="Carpredefinitoparagrafo"/>
    <w:link w:val="Corpotesto"/>
    <w:uiPriority w:val="99"/>
    <w:semiHidden/>
    <w:rsid w:val="00764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77D9"/>
    <w:pPr>
      <w:ind w:left="720"/>
      <w:contextualSpacing/>
    </w:pPr>
  </w:style>
  <w:style w:type="paragraph" w:styleId="Testonotaapidipagina">
    <w:name w:val="footnote text"/>
    <w:basedOn w:val="Normale"/>
    <w:link w:val="TestonotaapidipaginaCarattere"/>
    <w:semiHidden/>
    <w:rsid w:val="007644A5"/>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644A5"/>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7644A5"/>
    <w:rPr>
      <w:vertAlign w:val="superscript"/>
    </w:rPr>
  </w:style>
  <w:style w:type="paragraph" w:styleId="Citazione">
    <w:name w:val="Quote"/>
    <w:basedOn w:val="Normale"/>
    <w:next w:val="Corpotesto"/>
    <w:link w:val="CitazioneCarattere"/>
    <w:qFormat/>
    <w:rsid w:val="007644A5"/>
    <w:pPr>
      <w:tabs>
        <w:tab w:val="right" w:pos="284"/>
      </w:tabs>
      <w:spacing w:before="180" w:after="180" w:line="250" w:lineRule="exact"/>
      <w:ind w:left="284"/>
      <w:jc w:val="both"/>
    </w:pPr>
    <w:rPr>
      <w:rFonts w:ascii="Times New Roman" w:eastAsia="Times New Roman" w:hAnsi="Times New Roman" w:cs="Times New Roman"/>
      <w:sz w:val="25"/>
      <w:szCs w:val="20"/>
      <w:lang w:eastAsia="it-IT"/>
    </w:rPr>
  </w:style>
  <w:style w:type="character" w:customStyle="1" w:styleId="CitazioneCarattere">
    <w:name w:val="Citazione Carattere"/>
    <w:basedOn w:val="Carpredefinitoparagrafo"/>
    <w:link w:val="Citazione"/>
    <w:rsid w:val="007644A5"/>
    <w:rPr>
      <w:rFonts w:ascii="Times New Roman" w:eastAsia="Times New Roman" w:hAnsi="Times New Roman" w:cs="Times New Roman"/>
      <w:sz w:val="25"/>
      <w:szCs w:val="20"/>
      <w:lang w:eastAsia="it-IT"/>
    </w:rPr>
  </w:style>
  <w:style w:type="paragraph" w:styleId="Corpotesto">
    <w:name w:val="Body Text"/>
    <w:basedOn w:val="Normale"/>
    <w:link w:val="CorpotestoCarattere"/>
    <w:uiPriority w:val="99"/>
    <w:semiHidden/>
    <w:unhideWhenUsed/>
    <w:rsid w:val="007644A5"/>
    <w:pPr>
      <w:spacing w:after="120"/>
    </w:pPr>
  </w:style>
  <w:style w:type="character" w:customStyle="1" w:styleId="CorpotestoCarattere">
    <w:name w:val="Corpo testo Carattere"/>
    <w:basedOn w:val="Carpredefinitoparagrafo"/>
    <w:link w:val="Corpotesto"/>
    <w:uiPriority w:val="99"/>
    <w:semiHidden/>
    <w:rsid w:val="00764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5AA07-B0E8-4470-83E2-3179ADA6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2684</Words>
  <Characters>15301</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8</cp:revision>
  <dcterms:created xsi:type="dcterms:W3CDTF">2024-02-21T10:25:00Z</dcterms:created>
  <dcterms:modified xsi:type="dcterms:W3CDTF">2024-02-23T10:26:00Z</dcterms:modified>
</cp:coreProperties>
</file>