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137" w:rsidRDefault="00747137" w:rsidP="00747137">
      <w:pPr>
        <w:jc w:val="center"/>
        <w:rPr>
          <w:i/>
        </w:rPr>
      </w:pPr>
      <w:r>
        <w:rPr>
          <w:b/>
        </w:rPr>
        <w:t>9</w:t>
      </w:r>
      <w:r w:rsidRPr="000D466A">
        <w:rPr>
          <w:b/>
        </w:rPr>
        <w:t>.</w:t>
      </w:r>
      <w:r w:rsidRPr="000D466A">
        <w:rPr>
          <w:i/>
        </w:rPr>
        <w:t xml:space="preserve"> Trinità e novità dell’esperienza</w:t>
      </w:r>
      <w:r>
        <w:rPr>
          <w:i/>
        </w:rPr>
        <w:t xml:space="preserve"> (2)</w:t>
      </w:r>
      <w:r w:rsidRPr="000D466A">
        <w:rPr>
          <w:i/>
        </w:rPr>
        <w:t xml:space="preserve">: </w:t>
      </w:r>
    </w:p>
    <w:p w:rsidR="00747137" w:rsidRPr="000D466A" w:rsidRDefault="00747137" w:rsidP="00747137">
      <w:pPr>
        <w:jc w:val="center"/>
        <w:rPr>
          <w:i/>
        </w:rPr>
      </w:pPr>
      <w:r w:rsidRPr="000D466A">
        <w:rPr>
          <w:i/>
        </w:rPr>
        <w:t>l’uomo consegnato a se stesso in modo nuovo</w:t>
      </w:r>
    </w:p>
    <w:p w:rsidR="00747137" w:rsidRDefault="00747137" w:rsidP="00747137">
      <w:pPr>
        <w:jc w:val="both"/>
      </w:pPr>
    </w:p>
    <w:p w:rsidR="00747137" w:rsidRDefault="00747137" w:rsidP="00747137">
      <w:pPr>
        <w:jc w:val="both"/>
      </w:pPr>
      <w:r>
        <w:rPr>
          <w:b/>
        </w:rPr>
        <w:t>9</w:t>
      </w:r>
      <w:r>
        <w:rPr>
          <w:b/>
        </w:rPr>
        <w:t>.</w:t>
      </w:r>
      <w:r w:rsidRPr="00C5283F">
        <w:rPr>
          <w:b/>
        </w:rPr>
        <w:t>1.</w:t>
      </w:r>
      <w:r>
        <w:t xml:space="preserve"> </w:t>
      </w:r>
      <w:r>
        <w:rPr>
          <w:i/>
        </w:rPr>
        <w:t>Il venire di Dio secondo la misura dell’auto</w:t>
      </w:r>
      <w:r>
        <w:rPr>
          <w:i/>
        </w:rPr>
        <w:t>-</w:t>
      </w:r>
      <w:r>
        <w:rPr>
          <w:i/>
        </w:rPr>
        <w:t xml:space="preserve">trascendenza dell’uomo come spirito, elevato per grazia </w:t>
      </w:r>
      <w:r>
        <w:t xml:space="preserve">(K. </w:t>
      </w:r>
      <w:proofErr w:type="spellStart"/>
      <w:r>
        <w:t>Rahner</w:t>
      </w:r>
      <w:proofErr w:type="spellEnd"/>
      <w:r>
        <w:t>). Questa posizione cerca di pre</w:t>
      </w:r>
      <w:bookmarkStart w:id="0" w:name="_GoBack"/>
      <w:bookmarkEnd w:id="0"/>
      <w:r>
        <w:t xml:space="preserve">cisare in che senso l’altro in cui Dio deve entrare per dirsi in maniera comprensibile non possa essere inteso come una realtà precostituita rispetto a Dio, poiché trova la sua consistenza solo in quanto si riceve dal comunicarsi di Dio e quindi in dipendenza da Lui. In altri termini: se è vero che Dio deve adattarsi alle parole dell’uomo, queste non sono semplicemente qualcosa che è presupposto e che Dio deve assumere come un dato estraneo. La creatura non è un dato previo al comunicarsi di Dio. La differenza tra Dio e la creatura è Dio stesso e la consistenza della creatura è un dono che viene da Dio. Si tratta di una realtà altra perché donata da Dio a se stessa, affidata a sé. </w:t>
      </w:r>
    </w:p>
    <w:p w:rsidR="00747137" w:rsidRDefault="00747137" w:rsidP="00747137">
      <w:pPr>
        <w:jc w:val="both"/>
      </w:pPr>
    </w:p>
    <w:p w:rsidR="00747137" w:rsidRDefault="00747137" w:rsidP="00747137">
      <w:pPr>
        <w:jc w:val="both"/>
      </w:pPr>
      <w:r>
        <w:t>In tal senso da un lato occorre mantenere che la venuta di Dio all’uomo implica il venire dell’uomo a se stesso e solo in esso si realizza (la verità di Dio si dice nella verità delle parole umane), così che la verità di Dio include a pieno titolo la libera disposizione di sé da parte dell’uomo (e Dio non può incontrare l’uomo senza portarlo a se stesso); ma dall’altro ciò significa che la capacità dell’uomo di venire a se stesso, di trovarsi esprimendosi, ha ultimamente in Dio stesso la sua condizione di possibilità ultima (fondamento), nel senso che la parola umana è possibile solo sul fondamento del comunicarsi di Dio, del suo esprimersi. L’uomo è ciò che avviene quando Dio dice se stesso nell’altro da sé, è la grammatica di una possibile auto</w:t>
      </w:r>
      <w:r>
        <w:t>-</w:t>
      </w:r>
      <w:r>
        <w:t>comunicazione di Dio. In tal senso la rivelazione compie quell’apertura dell’uomo a Dio, in cui l’uomo si riceve, è consegnato a se stesso dal comunicarsi di Dio. Cerchiamo di capire cosa si intende con queste riflessioni e qual è l’implicazione trinitaria.</w:t>
      </w:r>
    </w:p>
    <w:p w:rsidR="00747137" w:rsidRDefault="00747137" w:rsidP="00747137">
      <w:pPr>
        <w:jc w:val="both"/>
      </w:pPr>
    </w:p>
    <w:p w:rsidR="00747137" w:rsidRDefault="00747137" w:rsidP="00747137">
      <w:pPr>
        <w:jc w:val="both"/>
      </w:pPr>
      <w:r>
        <w:rPr>
          <w:i/>
        </w:rPr>
        <w:t>(a)</w:t>
      </w:r>
      <w:r>
        <w:t xml:space="preserve"> Proprio perché l’uomo come spirito nel mondo sorge dal comunicarsi, dall’esprimersi di Dio, egli si trova consegnato a se stesso come capacità di auto</w:t>
      </w:r>
      <w:r>
        <w:t>-</w:t>
      </w:r>
      <w:r>
        <w:t>trascendenza, come sporgenza al di là delle cose date immediatamente, come dinamismo verso un orizzonte infinito, mai afferrato ma sempre anticipato e intuito nell’incontro con le realtà finite</w:t>
      </w:r>
      <w:r>
        <w:rPr>
          <w:rStyle w:val="Rimandonotaapidipagina"/>
        </w:rPr>
        <w:footnoteReference w:id="1"/>
      </w:r>
      <w:r>
        <w:t xml:space="preserve">. La coscienza umana scaturisce dalla sorpresa di fronte al miracolo dell’esistenza e quindi aperta a tutto ciò che è e quindi coestensiva con l’essere. Ciò significa che l’uomo percepisce ogni singola cosa nell’orizzonte più vasto dell’essere e quindi in un </w:t>
      </w:r>
      <w:proofErr w:type="spellStart"/>
      <w:r>
        <w:t>dinamsimo</w:t>
      </w:r>
      <w:proofErr w:type="spellEnd"/>
      <w:r>
        <w:t xml:space="preserve"> di superamento della singola cosa, in cui non è mai appagato. L’uomo non giunge mai pienamente a se stesso e sperimenta le cose nella differenza tra la singola realtà e l’orizzonte più vasto e inafferrabile dell’essere. In tal senso l’uomo è dinamismo aperto all’infinito, una domanda aperta sul tutto, che però non riesce ad afferrare e che rimane un orizzonte aperto. L’uomo si trova aperto al Mistero Santo. Questo Mistero gli si sottrae sempre, si dà in una differenza irrecuperabile. In ogni atto umano il Mistero Santo è rivelato implicitamente come termine della trascendenza. A questo livello originario Dio si consegna all’uomo in una rivelazione naturale, che fonda la stessa umanità dell’uomo. C’è dunque una dimensione religiosa in tutte le esperienze umane, che però rimane implicita, anonima, indefinibile. </w:t>
      </w:r>
    </w:p>
    <w:p w:rsidR="00747137" w:rsidRDefault="00747137" w:rsidP="00747137">
      <w:pPr>
        <w:jc w:val="both"/>
        <w:rPr>
          <w:i/>
        </w:rPr>
      </w:pPr>
    </w:p>
    <w:p w:rsidR="00747137" w:rsidRDefault="00747137" w:rsidP="00747137">
      <w:pPr>
        <w:jc w:val="both"/>
      </w:pPr>
      <w:r>
        <w:rPr>
          <w:i/>
        </w:rPr>
        <w:t>(b)</w:t>
      </w:r>
      <w:r>
        <w:t xml:space="preserve"> Per il credente questo Dio ha parlato, si è fatto vicino definitivamente in Gesù Cristo, sua Parola. La storia della salvezza va intesa come quella rivelazione in cui il Donatore è identico al Dono: Dio comunica se stesso, si esprime in una storia particolare e quindi in esperienze categoriali che fanno </w:t>
      </w:r>
      <w:r>
        <w:lastRenderedPageBreak/>
        <w:t>cogliere in sé il comunicarsi, l’esprimersi del Mistero Santo che si fa vicino. Ma perché l’uomo possa incontrare veramente il Dio che si comunica si devono verificare due condizioni dal punto di vista dell’uomo: da un lato la rivelazione di Dio deve verificarsi nella storia, ossia nell’esperienza finita e temporale in cui l’uomo è impegnato e a cui è rivolto; dall’altro Dio deve comunicarsi allo stesso orizzonte infinito dell’uomo come spirito aperto all’infinito, in modo che questi possa cogliere il dato finito nella differenza dall’orizzonte infinito come un esprimersi del Mistero Santo, che si comunica proprio in quel dato, realizzando una nuova relazione con l’uomo. La rivelazione soprannaturale avviene pertanto secondo due dimensioni: nell’esprimersi di Dio in una parola storica percepibile e nell’elevazione dell’apertura dell’uomo al Mistero Santo a una comunicazione immediata con Dio, in cui si realizza un’immediatezza nuova con Dio. Secondo queste due dimensioni, la storia della rivelazione giunge al suo compimento quando in una Parola storica si riconosce l’autoespressione adeguata (simbolo, sacramento, autorivelazione) di Dio nell’altro da sé: il Donatore è (si esprime, si comunica per quello che è) nel suo Dono (Gesù Cristo). Ora, la possibilità di riconoscere il Dono (la Parola) non semplicemente nella differenza rispetto all’orizzonte più vasto del Mistero Infinito, ma come espressione del Mistero Santo che dice, dona se stesso nella sua Parola e nel suo Dono, è garantita se il dinamismo dello spirito finito è elevato e reso partecipe del comunicarsi di Dio stesso nel suo Dono. E’ quanto opera lo Spirito. Per l’elevazione nello Spirito il soggetto è coinvolto nel donarsi di Dio stesso, nella sua auto</w:t>
      </w:r>
      <w:r>
        <w:t>-</w:t>
      </w:r>
      <w:r>
        <w:t xml:space="preserve">comunicazione e così reso capace di riconoscere il Donatore nel suo donare se stesso nel Dono. Proprio mentre l’uomo è consegnato a se stesso in modo nuovo da Dio, riconosce nella storia il donarsi di Dio stesso nel suo Dono. </w:t>
      </w:r>
      <w:r>
        <w:rPr>
          <w:i/>
        </w:rPr>
        <w:t>E’ questo il punto omega a cui tende tutta la storia: quel comunicarsi del Mistero Santo che consegna l’uomo a se stesso in modo tale che sia reso partecipe del dono che è Dio stesso. Ma ciò significa che la verità prima e ultima di Dio è l’auto</w:t>
      </w:r>
      <w:r>
        <w:rPr>
          <w:i/>
        </w:rPr>
        <w:t>-</w:t>
      </w:r>
      <w:r>
        <w:rPr>
          <w:i/>
        </w:rPr>
        <w:t>comunicazione, il dono di sé</w:t>
      </w:r>
      <w:r>
        <w:t>. L’incarnazione e l’elargizione della grazia sono le due modalità storica e trascendentale dell’auto</w:t>
      </w:r>
      <w:r>
        <w:t>-</w:t>
      </w:r>
      <w:r>
        <w:t>comunicazione di Dio.</w:t>
      </w:r>
    </w:p>
    <w:p w:rsidR="00747137" w:rsidRDefault="00747137" w:rsidP="00747137">
      <w:pPr>
        <w:jc w:val="both"/>
      </w:pPr>
      <w:r>
        <w:t>Infatti, dal punto di vista di Dio, la condizione di possibilità ultima che permette di pensare alla storia della rivelazione come un comunicare se stesso da parte del Mistero Santo all’auto</w:t>
      </w:r>
      <w:r>
        <w:t>-</w:t>
      </w:r>
      <w:r>
        <w:t>trascendenza del soggetto, nell’unità inscindibile e coinvolgente di Donatore, Dono e fondamento dell’accettazione del Dono, è l’esistenza in Dio stesso della distinzione dei modi di sussistere secondo cui Egli si auto</w:t>
      </w:r>
      <w:r>
        <w:t>-</w:t>
      </w:r>
      <w:r>
        <w:t>comunica. Se Dio ha dato se stesso senza riserva nella sua rivelazione, allora Dio è nella sua vita intima così come è nella sua rivelazione, cioè Trinità. La Trinità economica è la Trinità immanente e viceversa. La Trinità esprime l’esperienza di Dio che l’uomo fa nella storia della salvezza, intesa come auto</w:t>
      </w:r>
      <w:r>
        <w:t>-</w:t>
      </w:r>
      <w:r>
        <w:t xml:space="preserve">comunicazione del Mistero Santo a cui l’uomo è aperto, senza mai poterlo raggiungere. </w:t>
      </w:r>
    </w:p>
    <w:p w:rsidR="00747137" w:rsidRDefault="00747137" w:rsidP="00747137">
      <w:pPr>
        <w:jc w:val="both"/>
      </w:pPr>
      <w:r>
        <w:t>Quest’impostazione della dottrina trinitaria mette in evidenza in che senso la rivelazione della Trinità sia compimento dell’apertura dell’uomo all’assoluto, che riceve la sua misura e la sua realizzazione in Gesù Cristo e nell’effusione dello Spirito.</w:t>
      </w:r>
    </w:p>
    <w:p w:rsidR="00747137" w:rsidRDefault="00747137" w:rsidP="00747137">
      <w:pPr>
        <w:jc w:val="both"/>
      </w:pPr>
    </w:p>
    <w:p w:rsidR="00747137" w:rsidRPr="00DE7B49" w:rsidRDefault="00747137" w:rsidP="00747137">
      <w:pPr>
        <w:jc w:val="both"/>
      </w:pPr>
      <w:r>
        <w:rPr>
          <w:b/>
        </w:rPr>
        <w:t>9</w:t>
      </w:r>
      <w:r>
        <w:rPr>
          <w:b/>
        </w:rPr>
        <w:t>.</w:t>
      </w:r>
      <w:r w:rsidRPr="00C5283F">
        <w:rPr>
          <w:b/>
        </w:rPr>
        <w:t>2.</w:t>
      </w:r>
      <w:r>
        <w:t xml:space="preserve"> Una recente risonanza speculativa di questo tema la possiamo trovare nelle riflessioni della recente teologia trinitaria tedesca. Nella rivisitazione delle categorie trinitarie, laddove l’«auto-comunicazione» divina viene intesa come «reciproco riconoscimento di libertà co-originarie», emerge una riconsiderazione del nesso tra la </w:t>
      </w:r>
      <w:r w:rsidRPr="0051769E">
        <w:rPr>
          <w:i/>
        </w:rPr>
        <w:t>Trinità e la differenza creaturale</w:t>
      </w:r>
      <w:r>
        <w:t xml:space="preserve"> che offre</w:t>
      </w:r>
      <w:r w:rsidRPr="00DE7B49">
        <w:t xml:space="preserve"> elementi per </w:t>
      </w:r>
      <w:r>
        <w:t>ri</w:t>
      </w:r>
      <w:r w:rsidRPr="00DE7B49">
        <w:t xml:space="preserve">valutare il medio antropologico della verità </w:t>
      </w:r>
      <w:r>
        <w:t>cristiana di Dio ovvero l’uomo consegnato a se stesso in modo nuovo:</w:t>
      </w:r>
    </w:p>
    <w:p w:rsidR="00747137" w:rsidRPr="00BD1298" w:rsidRDefault="00747137" w:rsidP="00747137">
      <w:pPr>
        <w:ind w:left="170" w:right="170"/>
        <w:jc w:val="both"/>
        <w:rPr>
          <w:sz w:val="22"/>
        </w:rPr>
      </w:pPr>
    </w:p>
    <w:p w:rsidR="00747137" w:rsidRPr="00BD1298" w:rsidRDefault="00747137" w:rsidP="00747137">
      <w:pPr>
        <w:ind w:left="170" w:right="170"/>
        <w:jc w:val="both"/>
        <w:rPr>
          <w:sz w:val="22"/>
        </w:rPr>
      </w:pPr>
      <w:r w:rsidRPr="00BD1298">
        <w:rPr>
          <w:sz w:val="22"/>
        </w:rPr>
        <w:t xml:space="preserve">Appare così che l’impostazione di fondo del monoteismo giudaico – ossia l’assoluta differenza tra Creatore e creatura – non costituisca un ostacolo, ma piuttosto il presupposto logico della confessione cristologica nell’auto-comunicazione del Creatore in una creatura «in quanto» creatura. Fintanto che si pensa alla relazione del Creatore con la creazione in una logica di partecipazione, non si può parlare di una reale (formalmente incondizionata) libertà della creatura. Perciò Magnus </w:t>
      </w:r>
      <w:proofErr w:type="spellStart"/>
      <w:r w:rsidRPr="00BD1298">
        <w:rPr>
          <w:sz w:val="22"/>
        </w:rPr>
        <w:t>Striet</w:t>
      </w:r>
      <w:proofErr w:type="spellEnd"/>
      <w:r w:rsidRPr="00BD1298">
        <w:rPr>
          <w:sz w:val="22"/>
        </w:rPr>
        <w:t xml:space="preserve"> non descrive più la relazione tra Creatore e creatura nel senso della tradizione scolastica come rapporto di causa-effetto, né come relazione di mediazione in una logica di partecipazione, bensì come relazione di determinazione </w:t>
      </w:r>
      <w:r w:rsidRPr="00BD1298">
        <w:rPr>
          <w:sz w:val="22"/>
        </w:rPr>
        <w:lastRenderedPageBreak/>
        <w:t xml:space="preserve">nella libertà. Una relazione di determinazione è possibile solo tra Soggetti. Se Dio si determina a lasciarsi determinare dalla libertà creaturale, allora non potrà essere un principio impersonale di un certo ordine cosmico, ma un Soggetto che sta di fronte al cosmo… Solo un Dio che è libertà può assumere un’auto-determinata e perciò contingente relazione con una storia, dalla quale si lascia </w:t>
      </w:r>
      <w:r>
        <w:rPr>
          <w:sz w:val="22"/>
        </w:rPr>
        <w:t>determinare… In altri termini: s</w:t>
      </w:r>
      <w:r w:rsidRPr="00BD1298">
        <w:rPr>
          <w:sz w:val="22"/>
        </w:rPr>
        <w:t>e Gesù è l’auto-rivelazione di Dio, allora Dio deve essere pensato come Colui che da sempre è già in relazione con sé, ossia come Padre rivolto al Figlio e come Figlio rivolto al Padre; e quindi si deve pensare questa auto-distinzione del Figlio dal Padre – ossia questa libertà che determina il soggetto ossia la persona del Figlio – come identica con l</w:t>
      </w:r>
      <w:r>
        <w:rPr>
          <w:sz w:val="22"/>
        </w:rPr>
        <w:t>’</w:t>
      </w:r>
      <w:r w:rsidRPr="00BD1298">
        <w:rPr>
          <w:sz w:val="22"/>
        </w:rPr>
        <w:t xml:space="preserve">auto-distinzione </w:t>
      </w:r>
      <w:r>
        <w:rPr>
          <w:sz w:val="22"/>
        </w:rPr>
        <w:t xml:space="preserve">storicamente vissuta, che è la </w:t>
      </w:r>
      <w:r w:rsidRPr="00BD1298">
        <w:rPr>
          <w:sz w:val="22"/>
        </w:rPr>
        <w:t>libertà di Gesù di fronte al suo Abbà</w:t>
      </w:r>
      <w:r w:rsidRPr="00BD1298">
        <w:rPr>
          <w:rStyle w:val="Rimandonotaapidipagina"/>
          <w:sz w:val="22"/>
        </w:rPr>
        <w:footnoteReference w:id="2"/>
      </w:r>
      <w:r w:rsidRPr="00BD1298">
        <w:rPr>
          <w:sz w:val="22"/>
        </w:rPr>
        <w:t>.</w:t>
      </w:r>
    </w:p>
    <w:p w:rsidR="00747137" w:rsidRPr="00BD1298" w:rsidRDefault="00747137" w:rsidP="00747137">
      <w:pPr>
        <w:ind w:left="170" w:right="170"/>
        <w:jc w:val="both"/>
        <w:rPr>
          <w:sz w:val="22"/>
        </w:rPr>
      </w:pPr>
    </w:p>
    <w:p w:rsidR="00747137" w:rsidRDefault="00747137" w:rsidP="00747137">
      <w:pPr>
        <w:jc w:val="both"/>
      </w:pPr>
      <w:r>
        <w:t xml:space="preserve">Occorre mantenere questa virtuosa circolarità tra libertà creaturale, monoteismo e cristologia, anche se poi il rapporto delle libertà co-originarie non andrebbe espresso semplicemente come </w:t>
      </w:r>
      <w:r w:rsidRPr="00BD1298">
        <w:rPr>
          <w:i/>
        </w:rPr>
        <w:t>«</w:t>
      </w:r>
      <w:proofErr w:type="spellStart"/>
      <w:r w:rsidRPr="00BD1298">
        <w:rPr>
          <w:i/>
        </w:rPr>
        <w:t>Kommerzium</w:t>
      </w:r>
      <w:proofErr w:type="spellEnd"/>
      <w:r w:rsidRPr="00BD1298">
        <w:rPr>
          <w:i/>
        </w:rPr>
        <w:t>»</w:t>
      </w:r>
      <w:r>
        <w:t xml:space="preserve">, come fa invece M. </w:t>
      </w:r>
      <w:proofErr w:type="spellStart"/>
      <w:r>
        <w:t>Striet</w:t>
      </w:r>
      <w:proofErr w:type="spellEnd"/>
      <w:r>
        <w:t>, dal momento che occorre includere l’idea del Donarsi (</w:t>
      </w:r>
      <w:proofErr w:type="spellStart"/>
      <w:r w:rsidRPr="00BD1298">
        <w:rPr>
          <w:i/>
        </w:rPr>
        <w:t>Sich-geben</w:t>
      </w:r>
      <w:proofErr w:type="spellEnd"/>
      <w:r>
        <w:t>) e quindi del generare, costitutivo della vita trinitaria</w:t>
      </w:r>
      <w:r>
        <w:rPr>
          <w:rStyle w:val="Rimandonotaapidipagina"/>
        </w:rPr>
        <w:footnoteReference w:id="3"/>
      </w:r>
      <w:r>
        <w:t>.</w:t>
      </w:r>
    </w:p>
    <w:p w:rsidR="00747137" w:rsidRDefault="00747137" w:rsidP="00747137">
      <w:pPr>
        <w:jc w:val="both"/>
      </w:pPr>
    </w:p>
    <w:p w:rsidR="00747137" w:rsidRDefault="00747137" w:rsidP="00747137">
      <w:pPr>
        <w:jc w:val="both"/>
      </w:pPr>
      <w:r>
        <w:t>Questo tipo di impostazione, valorizzando il cristologico e quindi, in parte, l’antropologico, intende sottrarsi alla tentazione speculativa di ricondurre l’evento cristologico ad un processo interno all’assoluto. Il rischio da evitare è ben espresso nelle seguenti considerazioni:</w:t>
      </w:r>
    </w:p>
    <w:p w:rsidR="00747137" w:rsidRDefault="00747137" w:rsidP="00747137">
      <w:pPr>
        <w:ind w:left="170" w:right="170"/>
        <w:jc w:val="both"/>
        <w:rPr>
          <w:sz w:val="22"/>
        </w:rPr>
      </w:pPr>
    </w:p>
    <w:p w:rsidR="00747137" w:rsidRDefault="00747137" w:rsidP="00747137">
      <w:pPr>
        <w:ind w:left="170" w:right="170"/>
        <w:jc w:val="both"/>
        <w:rPr>
          <w:sz w:val="22"/>
        </w:rPr>
      </w:pPr>
      <w:r>
        <w:rPr>
          <w:sz w:val="22"/>
        </w:rPr>
        <w:t xml:space="preserve">Ciò che essa [una certa impostazione metafisica ma anche </w:t>
      </w:r>
      <w:proofErr w:type="spellStart"/>
      <w:r>
        <w:rPr>
          <w:sz w:val="22"/>
        </w:rPr>
        <w:t>balthasariana</w:t>
      </w:r>
      <w:proofErr w:type="spellEnd"/>
      <w:r>
        <w:rPr>
          <w:sz w:val="22"/>
        </w:rPr>
        <w:t>] trascura è che la positività riguarda l’antropologia in quanto alterità irriducibile al suo paradigma (o modello) teologico e proprio perciò capace di determinare in modo nuovo il suo stesso principio. Questa prospettiva, lungi dall’essere incompatibile con il primato della cristologia, lo realizza, poiché comprende la cristologia non come una “</w:t>
      </w:r>
      <w:proofErr w:type="spellStart"/>
      <w:r>
        <w:rPr>
          <w:sz w:val="22"/>
        </w:rPr>
        <w:t>modalizzazione</w:t>
      </w:r>
      <w:proofErr w:type="spellEnd"/>
      <w:r>
        <w:rPr>
          <w:sz w:val="22"/>
        </w:rPr>
        <w:t>” dell’essere di Dio nella forma umana, ma come l’evento in cui Dio conferisce alla differenza creaturale la capacità di determinare la sua stessa comunicazione</w:t>
      </w:r>
      <w:r>
        <w:rPr>
          <w:rStyle w:val="Rimandonotaapidipagina"/>
          <w:sz w:val="22"/>
        </w:rPr>
        <w:footnoteReference w:id="4"/>
      </w:r>
      <w:r>
        <w:rPr>
          <w:sz w:val="22"/>
        </w:rPr>
        <w:t>.</w:t>
      </w:r>
    </w:p>
    <w:p w:rsidR="00747137" w:rsidRPr="002C70AC" w:rsidRDefault="00747137" w:rsidP="00747137">
      <w:pPr>
        <w:ind w:left="170" w:right="170"/>
        <w:jc w:val="both"/>
        <w:rPr>
          <w:sz w:val="22"/>
        </w:rPr>
      </w:pPr>
    </w:p>
    <w:p w:rsidR="00747137" w:rsidRDefault="00747137" w:rsidP="00747137">
      <w:pPr>
        <w:jc w:val="both"/>
      </w:pPr>
      <w:r>
        <w:t xml:space="preserve">Si comprende l’esigenza di mantenere «l’irriducibilità dell’evento cristologico a un principio esterno alla sua effettività». Ciò comporta di rovesciare l’ordine di comprensione: invece di comprendere la cristologia a partire dalla teologia, occorre comprendere la teologia a partire dalla cristologia. Il senso di questa irriducibilità del «cristologico» a un teologico dato a priori e per sé evidente chiederebbe di </w:t>
      </w:r>
      <w:proofErr w:type="spellStart"/>
      <w:r>
        <w:t>ri</w:t>
      </w:r>
      <w:proofErr w:type="spellEnd"/>
      <w:r>
        <w:t>-articolare diversamente la relazione tra Trinità immanente ed economica.</w:t>
      </w:r>
    </w:p>
    <w:p w:rsidR="00747137" w:rsidRPr="00BD1298" w:rsidRDefault="00747137" w:rsidP="00747137">
      <w:pPr>
        <w:jc w:val="both"/>
      </w:pPr>
    </w:p>
    <w:p w:rsidR="00747137" w:rsidRDefault="00747137" w:rsidP="00747137">
      <w:pPr>
        <w:jc w:val="both"/>
      </w:pPr>
      <w:r>
        <w:rPr>
          <w:b/>
        </w:rPr>
        <w:t>9</w:t>
      </w:r>
      <w:r>
        <w:rPr>
          <w:b/>
        </w:rPr>
        <w:t>.</w:t>
      </w:r>
      <w:r w:rsidRPr="00C5283F">
        <w:rPr>
          <w:b/>
        </w:rPr>
        <w:t>3.</w:t>
      </w:r>
      <w:r>
        <w:t xml:space="preserve"> Le istanze qui proposte impongono una ferma vigilanza sulla facile tentazione di pensare a un Logos/Figlio che starebbe al di là di Gesù e della sua libera identità storica e al di là della sua vera umanità, dove la differenza creaturale verrebbe come assorbita nel faccia a faccia </w:t>
      </w:r>
      <w:proofErr w:type="spellStart"/>
      <w:r>
        <w:t>intradivino</w:t>
      </w:r>
      <w:proofErr w:type="spellEnd"/>
      <w:r>
        <w:t xml:space="preserve"> di Padre e Figlio e lì già adeguatamente realizzata e quindi compresa. Per evitare simili rischi potrebbe essere utile riprendere le considerazioni di </w:t>
      </w:r>
      <w:r w:rsidRPr="00FB7E38">
        <w:rPr>
          <w:i/>
        </w:rPr>
        <w:t>G. Essen</w:t>
      </w:r>
      <w:r>
        <w:t xml:space="preserve"> sulla libertà di Gesù «quale fondamento dell’identità con la persona del Figlio di Dio»</w:t>
      </w:r>
      <w:r>
        <w:rPr>
          <w:rStyle w:val="Rimandonotaapidipagina"/>
        </w:rPr>
        <w:footnoteReference w:id="5"/>
      </w:r>
      <w:r>
        <w:t xml:space="preserve">. In estrema sintesi la sua proposta rimanda alla </w:t>
      </w:r>
      <w:r>
        <w:lastRenderedPageBreak/>
        <w:t xml:space="preserve">centralità della </w:t>
      </w:r>
      <w:r>
        <w:rPr>
          <w:i/>
          <w:iCs/>
        </w:rPr>
        <w:t>libertà umana di Gesù</w:t>
      </w:r>
      <w:r>
        <w:t xml:space="preserve"> quale fondamento dell’identificazione formale della vicenda del Nazareno con la persona del Figlio. In questa prospettiva viene superata la comprensione della relazione tra il Dio che si auto-comunica e l’uomo che risponde al modo di un rapporto di </w:t>
      </w:r>
      <w:r>
        <w:rPr>
          <w:i/>
          <w:iCs/>
        </w:rPr>
        <w:t>mediazione</w:t>
      </w:r>
      <w:r>
        <w:t xml:space="preserve"> (tra eterno e temporale, trascendentale e storico/categoriale), per pensare invece a un rapporto di </w:t>
      </w:r>
      <w:r>
        <w:rPr>
          <w:i/>
          <w:iCs/>
        </w:rPr>
        <w:t>determinazione-riconoscimento incondizionato di libertà</w:t>
      </w:r>
      <w:r>
        <w:t>. La differenza Dio/uomo è una differenza di libertà e come tale va pensata in Gesù Cristo. In questa prospettiva è proprio la libertà umana di Gesù di fronte al Padre il fondamento dell’identificazione della storia di Gesù con la persona del Figlio. In essa, infatti, si realizza quella determinazione-riconoscimento del Figlio da parte del Padre che inserisce la storia umana nello scambio trinitario.</w:t>
      </w:r>
    </w:p>
    <w:p w:rsidR="00747137" w:rsidRDefault="00747137" w:rsidP="00747137">
      <w:pPr>
        <w:ind w:left="170" w:right="113"/>
        <w:jc w:val="both"/>
        <w:rPr>
          <w:sz w:val="22"/>
        </w:rPr>
      </w:pPr>
    </w:p>
    <w:p w:rsidR="00747137" w:rsidRDefault="00747137" w:rsidP="00747137">
      <w:pPr>
        <w:ind w:left="170" w:right="113"/>
        <w:jc w:val="both"/>
        <w:rPr>
          <w:sz w:val="22"/>
        </w:rPr>
      </w:pPr>
      <w:r>
        <w:rPr>
          <w:sz w:val="22"/>
        </w:rPr>
        <w:t>Al centro si trova la domanda sul fondamento dell’identità personale di Gesù col Figlio di Dio. Essa trova la sua risposta nella tesi della formale identificazione della libertà umana di Gesù con quella del Figlio eterno. Sullo sfondo sta la consapevolezza di fede che l’agire salvifico di Dio, nell’evento della sua auto-comunicazione nella storia di Gesù, va compreso in termini trinitari, in modo che la sua possibilità e struttura possano essere illuminate a partire dall’interna determinazione della vita divina. Nella nostra prospettiva l’opera comune ma differenziata del Padre e del Figlio nelle missioni economico-salvifiche va concepita come un rapporto di libertà e precisamente come un incondizionato riconoscimento reciproco del Padre e del Figlio, in cui non va trascurato il momento dell’</w:t>
      </w:r>
      <w:proofErr w:type="spellStart"/>
      <w:r>
        <w:rPr>
          <w:sz w:val="22"/>
        </w:rPr>
        <w:t>originarietà</w:t>
      </w:r>
      <w:proofErr w:type="spellEnd"/>
      <w:r>
        <w:rPr>
          <w:sz w:val="22"/>
        </w:rPr>
        <w:t xml:space="preserve"> della libera affermazione di sé. La riformulazione, alla luce di una teoria della libertà, dell’identità della persona del Figlio con l’uomo Gesù, ha come sua implicazione che la figliolanza afferrabile indirettamente nella singolare relazione con Dio propria di Gesù porta alla sua identificazione col Figlio eterno… La libertà di Gesù è veramente umana e si realizza secondo le leggi corrispondenti alla libertà finita. Ma nella concreta vita di Gesù si mostra nella sua reale identità, e quindi nel suo essere persona, come la libertà del Figlio di Dio, poiché la libertà umana di Gesù ha la sua determinazione proprio nell’essere consapevole dell’immediatezza con cui è donato a lei l’amore originario/sorgivo e senza intermediari del Padre. Ne deriva che nell’operare comune di Padre e Figlio nelle missioni storico-salvifiche è in gioco la libertà del reciproco riconoscimento… basato sull’unità-differenza di diverse e co-originarie libertà</w:t>
      </w:r>
      <w:r>
        <w:rPr>
          <w:rStyle w:val="Rimandonotaapidipagina"/>
        </w:rPr>
        <w:footnoteReference w:id="6"/>
      </w:r>
      <w:r>
        <w:rPr>
          <w:sz w:val="22"/>
        </w:rPr>
        <w:t>.</w:t>
      </w:r>
    </w:p>
    <w:p w:rsidR="00747137" w:rsidRDefault="00747137" w:rsidP="00747137">
      <w:pPr>
        <w:ind w:left="170" w:right="113"/>
        <w:jc w:val="both"/>
        <w:rPr>
          <w:sz w:val="22"/>
        </w:rPr>
      </w:pPr>
    </w:p>
    <w:p w:rsidR="00323189" w:rsidRDefault="00747137" w:rsidP="00747137">
      <w:pPr>
        <w:jc w:val="both"/>
      </w:pPr>
      <w:r>
        <w:t>Questo evento di libertà dischiuso nella vicenda di Gesù dall’agire di Dio implica che l’amore di Dio possa essere manifestato in lui solo se Dio, da parte sua, riconosce l’</w:t>
      </w:r>
      <w:proofErr w:type="spellStart"/>
      <w:r>
        <w:t>originarietà</w:t>
      </w:r>
      <w:proofErr w:type="spellEnd"/>
      <w:r>
        <w:t xml:space="preserve"> della libertà umana e storica di Gesù. Questi </w:t>
      </w:r>
      <w:r w:rsidRPr="00963E30">
        <w:rPr>
          <w:iCs/>
        </w:rPr>
        <w:t>è mediatore definitivo proprio in quanto reale rivolgersi di Dio all’uomo e libera accettazione di questa auto-donazione di Dio</w:t>
      </w:r>
      <w:r w:rsidRPr="00963E30">
        <w:t xml:space="preserve">. </w:t>
      </w:r>
      <w:r w:rsidRPr="003D6AAA">
        <w:t>Solo la libertà di quest’uomo, che nella sua storia concreta si lascia determinare originariamente dall’amore di Dio e trova la sua identità nell’incondizionata identificazione con la sua missione ricevuta dal Padre, può essere l’espressione realizzante quest’amore di Dio.</w:t>
      </w:r>
      <w:r>
        <w:t xml:space="preserve"> Ne deriva che </w:t>
      </w:r>
      <w:r>
        <w:rPr>
          <w:i/>
          <w:iCs/>
        </w:rPr>
        <w:t>la libertà di Gesù, proprio in quanto umana,</w:t>
      </w:r>
      <w:r>
        <w:t xml:space="preserve"> è la realizzazione dell’amore incondizionato di Dio per gli uomini. Ma ciò è possibile in quanto l’esistenza di Gesù si lascia determinare in modo eccedente e assoluto da Dio stesso. L’unità tra «l’assoluta auto-espressione di Dio» e «l’assoluta accettazione» viene pensata come un rapporto di determinazione </w:t>
      </w:r>
      <w:r>
        <w:rPr>
          <w:i/>
          <w:iCs/>
        </w:rPr>
        <w:t>(</w:t>
      </w:r>
      <w:proofErr w:type="spellStart"/>
      <w:r>
        <w:rPr>
          <w:i/>
          <w:iCs/>
        </w:rPr>
        <w:t>Bestimmungverhältnis</w:t>
      </w:r>
      <w:proofErr w:type="spellEnd"/>
      <w:r>
        <w:rPr>
          <w:i/>
          <w:iCs/>
        </w:rPr>
        <w:t>)</w:t>
      </w:r>
      <w:r>
        <w:t xml:space="preserve"> e quindi come incontro di libertà. Questo rapporto di determinazione va inteso come l’unità di volontà di Gesù col Padre suo, realizzatosi per noi nella storia di Gesù. </w:t>
      </w:r>
      <w:r w:rsidRPr="00E044A6">
        <w:t>È</w:t>
      </w:r>
      <w:r>
        <w:t xml:space="preserve"> dunque la stessa libertà umana di Gesù il </w:t>
      </w:r>
      <w:r>
        <w:rPr>
          <w:i/>
          <w:iCs/>
        </w:rPr>
        <w:t>medium</w:t>
      </w:r>
      <w:r>
        <w:t xml:space="preserve"> dell’amore incondizionato di Dio per gli uomini e quindi dell’auto-presentarsi di Dio nell’</w:t>
      </w:r>
      <w:proofErr w:type="spellStart"/>
      <w:r>
        <w:t>incondizionatezza</w:t>
      </w:r>
      <w:proofErr w:type="spellEnd"/>
      <w:r>
        <w:t xml:space="preserve"> del suo amore. </w:t>
      </w:r>
      <w:r w:rsidRPr="004F475A">
        <w:t>È</w:t>
      </w:r>
      <w:r>
        <w:t xml:space="preserve"> </w:t>
      </w:r>
      <w:r>
        <w:rPr>
          <w:i/>
          <w:iCs/>
        </w:rPr>
        <w:t>mediazione dell’auto-presentarsi di quest’amore per noi proprio in quanto libertà reale</w:t>
      </w:r>
      <w:r>
        <w:t xml:space="preserve">; ma la libertà di Gesù può essere tutto ciò, solo se essa si sa determinata dall’immediatezza della sua relazione al Padre ed è originariamente certa del suo amore per noi. L’intimo fondamento della figliolanza divina di Gesù è trovato nel fatto che il </w:t>
      </w:r>
      <w:r w:rsidRPr="003A4C9E">
        <w:rPr>
          <w:i/>
        </w:rPr>
        <w:t>Figlio divino è questa libertà umana e la libertà del Figlio di Dio è una libertà umana</w:t>
      </w:r>
      <w:r>
        <w:t xml:space="preserve">. In altri termini: se la libertà di Gesù in quanto umana è il </w:t>
      </w:r>
      <w:r>
        <w:rPr>
          <w:i/>
          <w:iCs/>
        </w:rPr>
        <w:t>medium</w:t>
      </w:r>
      <w:r>
        <w:t xml:space="preserve"> dell’auto-rivelazione di Dio e perciò il luogo della sua presenza nell’amore, non può esistere tra la libertà di Gesù e la libertà del Figlio alcuna differenza. Gesù è il Figlio che incontra gli uomini nella loro storia e l’uomo Gesù è la forma storica dell’esistenza del Figlio di Dio.</w:t>
      </w:r>
    </w:p>
    <w:p w:rsidR="00747137" w:rsidRPr="00747137" w:rsidRDefault="00747137" w:rsidP="00747137">
      <w:pPr>
        <w:jc w:val="both"/>
      </w:pPr>
    </w:p>
    <w:sectPr w:rsidR="00747137" w:rsidRPr="0074713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722" w:rsidRDefault="002F0722" w:rsidP="00747137">
      <w:r>
        <w:separator/>
      </w:r>
    </w:p>
  </w:endnote>
  <w:endnote w:type="continuationSeparator" w:id="0">
    <w:p w:rsidR="002F0722" w:rsidRDefault="002F0722" w:rsidP="00747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722" w:rsidRDefault="002F0722" w:rsidP="00747137">
      <w:r>
        <w:separator/>
      </w:r>
    </w:p>
  </w:footnote>
  <w:footnote w:type="continuationSeparator" w:id="0">
    <w:p w:rsidR="002F0722" w:rsidRDefault="002F0722" w:rsidP="00747137">
      <w:r>
        <w:continuationSeparator/>
      </w:r>
    </w:p>
  </w:footnote>
  <w:footnote w:id="1">
    <w:p w:rsidR="00747137" w:rsidRPr="003D19E6" w:rsidRDefault="00747137" w:rsidP="00747137">
      <w:pPr>
        <w:pStyle w:val="Testonotaapidipagina"/>
        <w:jc w:val="both"/>
        <w:rPr>
          <w:lang w:val="en-GB"/>
        </w:rPr>
      </w:pPr>
      <w:r>
        <w:rPr>
          <w:rStyle w:val="Rimandonotaapidipagina"/>
        </w:rPr>
        <w:footnoteRef/>
      </w:r>
      <w:r>
        <w:t xml:space="preserve"> L’auto</w:t>
      </w:r>
      <w:r>
        <w:t>-</w:t>
      </w:r>
      <w:r>
        <w:t xml:space="preserve">trascendenza dello spirito umano ha origine nell’apertura della coscienza al mistero dell’essere nella sua totalità, per cui l’inizio del conoscere è un’anticipazione atematica e mai adeguatamente </w:t>
      </w:r>
      <w:proofErr w:type="spellStart"/>
      <w:r>
        <w:t>concettualizzabile</w:t>
      </w:r>
      <w:proofErr w:type="spellEnd"/>
      <w:r>
        <w:t xml:space="preserve"> dell’orizzonte infinito del tutto </w:t>
      </w:r>
      <w:r>
        <w:rPr>
          <w:i/>
        </w:rPr>
        <w:t>(</w:t>
      </w:r>
      <w:proofErr w:type="spellStart"/>
      <w:r>
        <w:rPr>
          <w:i/>
        </w:rPr>
        <w:t>Vorgriff</w:t>
      </w:r>
      <w:proofErr w:type="spellEnd"/>
      <w:r>
        <w:rPr>
          <w:i/>
        </w:rPr>
        <w:t>)</w:t>
      </w:r>
      <w:r>
        <w:t xml:space="preserve"> in cui l’uomo è consegnato a se stesso e sporge rispetto ai singoli dati dell’esperienza in un dinamismo aperto al tutto. L’interpretazione di questo dato originario come un dono in cui Dio consegna l’uomo a se stesso e quindi come una passività originaria in cui lo spirito si coglie, ricevendosi da altro, è un’originale lettura di </w:t>
      </w:r>
      <w:proofErr w:type="spellStart"/>
      <w:r>
        <w:t>Rahner</w:t>
      </w:r>
      <w:proofErr w:type="spellEnd"/>
      <w:r>
        <w:t xml:space="preserve"> che abbiamo raccolto dal volume di </w:t>
      </w:r>
      <w:r>
        <w:rPr>
          <w:smallCaps/>
        </w:rPr>
        <w:t xml:space="preserve">V. </w:t>
      </w:r>
      <w:proofErr w:type="spellStart"/>
      <w:r>
        <w:rPr>
          <w:smallCaps/>
        </w:rPr>
        <w:t>Holzer</w:t>
      </w:r>
      <w:proofErr w:type="spellEnd"/>
      <w:r>
        <w:t xml:space="preserve">, </w:t>
      </w:r>
      <w:r>
        <w:rPr>
          <w:i/>
        </w:rPr>
        <w:t xml:space="preserve">Le </w:t>
      </w:r>
      <w:proofErr w:type="spellStart"/>
      <w:r>
        <w:rPr>
          <w:i/>
        </w:rPr>
        <w:t>Dieu</w:t>
      </w:r>
      <w:proofErr w:type="spellEnd"/>
      <w:r>
        <w:rPr>
          <w:i/>
        </w:rPr>
        <w:t xml:space="preserve"> </w:t>
      </w:r>
      <w:proofErr w:type="spellStart"/>
      <w:r>
        <w:rPr>
          <w:i/>
        </w:rPr>
        <w:t>Trinité</w:t>
      </w:r>
      <w:proofErr w:type="spellEnd"/>
      <w:r>
        <w:rPr>
          <w:i/>
        </w:rPr>
        <w:t xml:space="preserve"> </w:t>
      </w:r>
      <w:proofErr w:type="spellStart"/>
      <w:r>
        <w:rPr>
          <w:i/>
        </w:rPr>
        <w:t>dans</w:t>
      </w:r>
      <w:proofErr w:type="spellEnd"/>
      <w:r>
        <w:rPr>
          <w:i/>
        </w:rPr>
        <w:t xml:space="preserve"> l’histoire. </w:t>
      </w:r>
      <w:r w:rsidRPr="003D19E6">
        <w:rPr>
          <w:i/>
          <w:lang w:val="en-GB"/>
        </w:rPr>
        <w:t xml:space="preserve">Le </w:t>
      </w:r>
      <w:proofErr w:type="spellStart"/>
      <w:r w:rsidRPr="003D19E6">
        <w:rPr>
          <w:i/>
          <w:lang w:val="en-GB"/>
        </w:rPr>
        <w:t>différend</w:t>
      </w:r>
      <w:proofErr w:type="spellEnd"/>
      <w:r w:rsidRPr="003D19E6">
        <w:rPr>
          <w:i/>
          <w:lang w:val="en-GB"/>
        </w:rPr>
        <w:t xml:space="preserve"> </w:t>
      </w:r>
      <w:proofErr w:type="spellStart"/>
      <w:r w:rsidRPr="003D19E6">
        <w:rPr>
          <w:i/>
          <w:lang w:val="en-GB"/>
        </w:rPr>
        <w:t>théologique</w:t>
      </w:r>
      <w:proofErr w:type="spellEnd"/>
      <w:r w:rsidRPr="003D19E6">
        <w:rPr>
          <w:i/>
          <w:lang w:val="en-GB"/>
        </w:rPr>
        <w:t xml:space="preserve"> Balthasar-</w:t>
      </w:r>
      <w:proofErr w:type="spellStart"/>
      <w:r w:rsidRPr="003D19E6">
        <w:rPr>
          <w:i/>
          <w:lang w:val="en-GB"/>
        </w:rPr>
        <w:t>Rahner</w:t>
      </w:r>
      <w:proofErr w:type="spellEnd"/>
      <w:r w:rsidRPr="003D19E6">
        <w:rPr>
          <w:lang w:val="en-GB"/>
        </w:rPr>
        <w:t>, Paris, Cerf, 1995, pp. 20-28; 103-148.</w:t>
      </w:r>
    </w:p>
  </w:footnote>
  <w:footnote w:id="2">
    <w:p w:rsidR="00747137" w:rsidRPr="00633420" w:rsidRDefault="00747137" w:rsidP="00747137">
      <w:pPr>
        <w:jc w:val="both"/>
        <w:rPr>
          <w:sz w:val="20"/>
          <w:szCs w:val="20"/>
          <w:lang w:val="en-GB"/>
        </w:rPr>
      </w:pPr>
      <w:r w:rsidRPr="00633420">
        <w:rPr>
          <w:rStyle w:val="Rimandonotaapidipagina"/>
          <w:sz w:val="20"/>
          <w:szCs w:val="20"/>
        </w:rPr>
        <w:footnoteRef/>
      </w:r>
      <w:r w:rsidRPr="00633420">
        <w:rPr>
          <w:sz w:val="20"/>
          <w:szCs w:val="20"/>
          <w:lang w:val="en-GB"/>
        </w:rPr>
        <w:t xml:space="preserve"> </w:t>
      </w:r>
      <w:r w:rsidRPr="00633420">
        <w:rPr>
          <w:smallCaps/>
          <w:sz w:val="20"/>
          <w:szCs w:val="20"/>
          <w:lang w:val="en-GB"/>
        </w:rPr>
        <w:t xml:space="preserve">K.-H. </w:t>
      </w:r>
      <w:proofErr w:type="spellStart"/>
      <w:r w:rsidRPr="00633420">
        <w:rPr>
          <w:smallCaps/>
          <w:sz w:val="20"/>
          <w:szCs w:val="20"/>
          <w:lang w:val="en-GB"/>
        </w:rPr>
        <w:t>Menke</w:t>
      </w:r>
      <w:proofErr w:type="spellEnd"/>
      <w:r w:rsidRPr="00633420">
        <w:rPr>
          <w:sz w:val="20"/>
          <w:szCs w:val="20"/>
          <w:lang w:val="en-GB"/>
        </w:rPr>
        <w:t xml:space="preserve">, </w:t>
      </w:r>
      <w:proofErr w:type="spellStart"/>
      <w:r w:rsidRPr="00633420">
        <w:rPr>
          <w:i/>
          <w:sz w:val="20"/>
          <w:szCs w:val="20"/>
          <w:lang w:val="en-GB"/>
        </w:rPr>
        <w:t>Anmerkungen</w:t>
      </w:r>
      <w:proofErr w:type="spellEnd"/>
      <w:r w:rsidRPr="00633420">
        <w:rPr>
          <w:i/>
          <w:sz w:val="20"/>
          <w:szCs w:val="20"/>
          <w:lang w:val="en-GB"/>
        </w:rPr>
        <w:t xml:space="preserve"> </w:t>
      </w:r>
      <w:proofErr w:type="spellStart"/>
      <w:r w:rsidRPr="00633420">
        <w:rPr>
          <w:i/>
          <w:sz w:val="20"/>
          <w:szCs w:val="20"/>
          <w:lang w:val="en-GB"/>
        </w:rPr>
        <w:t>zu</w:t>
      </w:r>
      <w:proofErr w:type="spellEnd"/>
      <w:r w:rsidRPr="00633420">
        <w:rPr>
          <w:i/>
          <w:sz w:val="20"/>
          <w:szCs w:val="20"/>
          <w:lang w:val="en-GB"/>
        </w:rPr>
        <w:t xml:space="preserve"> Magnus </w:t>
      </w:r>
      <w:proofErr w:type="spellStart"/>
      <w:r w:rsidRPr="00633420">
        <w:rPr>
          <w:i/>
          <w:sz w:val="20"/>
          <w:szCs w:val="20"/>
          <w:lang w:val="en-GB"/>
        </w:rPr>
        <w:t>Striet</w:t>
      </w:r>
      <w:proofErr w:type="spellEnd"/>
      <w:r w:rsidRPr="00633420">
        <w:rPr>
          <w:i/>
          <w:sz w:val="20"/>
          <w:szCs w:val="20"/>
          <w:lang w:val="en-GB"/>
        </w:rPr>
        <w:t xml:space="preserve"> “</w:t>
      </w:r>
      <w:proofErr w:type="spellStart"/>
      <w:r w:rsidRPr="00633420">
        <w:rPr>
          <w:i/>
          <w:sz w:val="20"/>
          <w:szCs w:val="20"/>
          <w:lang w:val="en-GB"/>
        </w:rPr>
        <w:t>Monotheismus</w:t>
      </w:r>
      <w:proofErr w:type="spellEnd"/>
      <w:r w:rsidRPr="00633420">
        <w:rPr>
          <w:i/>
          <w:sz w:val="20"/>
          <w:szCs w:val="20"/>
          <w:lang w:val="en-GB"/>
        </w:rPr>
        <w:t xml:space="preserve"> und </w:t>
      </w:r>
      <w:proofErr w:type="spellStart"/>
      <w:r w:rsidRPr="00633420">
        <w:rPr>
          <w:i/>
          <w:sz w:val="20"/>
          <w:szCs w:val="20"/>
          <w:lang w:val="en-GB"/>
        </w:rPr>
        <w:t>Schöpfungsdifferenz</w:t>
      </w:r>
      <w:proofErr w:type="spellEnd"/>
      <w:r w:rsidRPr="00633420">
        <w:rPr>
          <w:sz w:val="20"/>
          <w:szCs w:val="20"/>
          <w:lang w:val="en-GB"/>
        </w:rPr>
        <w:t xml:space="preserve">, in </w:t>
      </w:r>
      <w:r w:rsidRPr="00633420">
        <w:rPr>
          <w:smallCaps/>
          <w:sz w:val="20"/>
          <w:szCs w:val="20"/>
          <w:lang w:val="en-GB"/>
        </w:rPr>
        <w:t>P. Walter</w:t>
      </w:r>
      <w:r>
        <w:rPr>
          <w:smallCaps/>
          <w:sz w:val="20"/>
          <w:szCs w:val="20"/>
          <w:lang w:val="en-GB"/>
        </w:rPr>
        <w:t xml:space="preserve"> (</w:t>
      </w:r>
      <w:proofErr w:type="spellStart"/>
      <w:r>
        <w:rPr>
          <w:smallCaps/>
          <w:sz w:val="20"/>
          <w:szCs w:val="20"/>
          <w:lang w:val="en-GB"/>
        </w:rPr>
        <w:t>ed</w:t>
      </w:r>
      <w:proofErr w:type="spellEnd"/>
      <w:r>
        <w:rPr>
          <w:smallCaps/>
          <w:sz w:val="20"/>
          <w:szCs w:val="20"/>
          <w:lang w:val="en-GB"/>
        </w:rPr>
        <w:t>)</w:t>
      </w:r>
      <w:r w:rsidRPr="00633420">
        <w:rPr>
          <w:sz w:val="20"/>
          <w:szCs w:val="20"/>
          <w:lang w:val="en-GB"/>
        </w:rPr>
        <w:t xml:space="preserve">, </w:t>
      </w:r>
      <w:r w:rsidRPr="00633420">
        <w:rPr>
          <w:i/>
          <w:sz w:val="20"/>
          <w:szCs w:val="20"/>
          <w:lang w:val="en-GB"/>
        </w:rPr>
        <w:t xml:space="preserve">Das </w:t>
      </w:r>
      <w:proofErr w:type="spellStart"/>
      <w:r w:rsidRPr="00633420">
        <w:rPr>
          <w:i/>
          <w:sz w:val="20"/>
          <w:szCs w:val="20"/>
          <w:lang w:val="en-GB"/>
        </w:rPr>
        <w:t>Gewaltpotential</w:t>
      </w:r>
      <w:proofErr w:type="spellEnd"/>
      <w:r w:rsidRPr="00633420">
        <w:rPr>
          <w:i/>
          <w:sz w:val="20"/>
          <w:szCs w:val="20"/>
          <w:lang w:val="en-GB"/>
        </w:rPr>
        <w:t xml:space="preserve"> des </w:t>
      </w:r>
      <w:proofErr w:type="spellStart"/>
      <w:r w:rsidRPr="00633420">
        <w:rPr>
          <w:i/>
          <w:sz w:val="20"/>
          <w:szCs w:val="20"/>
          <w:lang w:val="en-GB"/>
        </w:rPr>
        <w:t>Monotheismus</w:t>
      </w:r>
      <w:proofErr w:type="spellEnd"/>
      <w:r w:rsidRPr="00633420">
        <w:rPr>
          <w:i/>
          <w:sz w:val="20"/>
          <w:szCs w:val="20"/>
          <w:lang w:val="en-GB"/>
        </w:rPr>
        <w:t xml:space="preserve"> und der </w:t>
      </w:r>
      <w:proofErr w:type="spellStart"/>
      <w:r w:rsidRPr="00633420">
        <w:rPr>
          <w:i/>
          <w:sz w:val="20"/>
          <w:szCs w:val="20"/>
          <w:lang w:val="en-GB"/>
        </w:rPr>
        <w:t>dreieine</w:t>
      </w:r>
      <w:proofErr w:type="spellEnd"/>
      <w:r w:rsidRPr="00633420">
        <w:rPr>
          <w:i/>
          <w:sz w:val="20"/>
          <w:szCs w:val="20"/>
          <w:lang w:val="en-GB"/>
        </w:rPr>
        <w:t xml:space="preserve"> </w:t>
      </w:r>
      <w:proofErr w:type="spellStart"/>
      <w:r w:rsidRPr="00633420">
        <w:rPr>
          <w:i/>
          <w:sz w:val="20"/>
          <w:szCs w:val="20"/>
          <w:lang w:val="en-GB"/>
        </w:rPr>
        <w:t>Gott</w:t>
      </w:r>
      <w:proofErr w:type="spellEnd"/>
      <w:r>
        <w:rPr>
          <w:sz w:val="20"/>
          <w:szCs w:val="20"/>
          <w:lang w:val="en-GB"/>
        </w:rPr>
        <w:t xml:space="preserve">, Herder </w:t>
      </w:r>
      <w:proofErr w:type="spellStart"/>
      <w:r>
        <w:rPr>
          <w:sz w:val="20"/>
          <w:szCs w:val="20"/>
          <w:lang w:val="en-GB"/>
        </w:rPr>
        <w:t>Verlag</w:t>
      </w:r>
      <w:proofErr w:type="spellEnd"/>
      <w:r>
        <w:rPr>
          <w:sz w:val="20"/>
          <w:szCs w:val="20"/>
          <w:lang w:val="en-GB"/>
        </w:rPr>
        <w:t xml:space="preserve">, Freiburg-Basel-Wien 2005, </w:t>
      </w:r>
      <w:r w:rsidRPr="00633420">
        <w:rPr>
          <w:sz w:val="20"/>
          <w:szCs w:val="20"/>
          <w:lang w:val="en-GB"/>
        </w:rPr>
        <w:t>162-165.</w:t>
      </w:r>
    </w:p>
  </w:footnote>
  <w:footnote w:id="3">
    <w:p w:rsidR="00747137" w:rsidRPr="002A426A" w:rsidRDefault="00747137" w:rsidP="00747137">
      <w:pPr>
        <w:pStyle w:val="Testonotaapidipagina"/>
        <w:jc w:val="both"/>
        <w:rPr>
          <w:lang w:val="en-GB"/>
        </w:rPr>
      </w:pPr>
      <w:r>
        <w:rPr>
          <w:rStyle w:val="Rimandonotaapidipagina"/>
        </w:rPr>
        <w:footnoteRef/>
      </w:r>
      <w:r>
        <w:t xml:space="preserve"> </w:t>
      </w:r>
      <w:r w:rsidRPr="00E044A6">
        <w:t>È</w:t>
      </w:r>
      <w:r>
        <w:t xml:space="preserve"> la correzione che propone K.H. </w:t>
      </w:r>
      <w:proofErr w:type="spellStart"/>
      <w:r>
        <w:t>Menke</w:t>
      </w:r>
      <w:proofErr w:type="spellEnd"/>
      <w:r>
        <w:t xml:space="preserve"> alla proposta, peraltro accolta con favore, di </w:t>
      </w:r>
      <w:r w:rsidRPr="00D17DED">
        <w:rPr>
          <w:smallCaps/>
        </w:rPr>
        <w:t xml:space="preserve">M. </w:t>
      </w:r>
      <w:proofErr w:type="spellStart"/>
      <w:r w:rsidRPr="00D17DED">
        <w:rPr>
          <w:smallCaps/>
        </w:rPr>
        <w:t>Striet</w:t>
      </w:r>
      <w:proofErr w:type="spellEnd"/>
      <w:r>
        <w:t xml:space="preserve">, </w:t>
      </w:r>
      <w:proofErr w:type="spellStart"/>
      <w:r w:rsidRPr="00D17DED">
        <w:rPr>
          <w:i/>
        </w:rPr>
        <w:t>Monotheismus</w:t>
      </w:r>
      <w:proofErr w:type="spellEnd"/>
      <w:r w:rsidRPr="00D17DED">
        <w:rPr>
          <w:i/>
        </w:rPr>
        <w:t xml:space="preserve"> und </w:t>
      </w:r>
      <w:proofErr w:type="spellStart"/>
      <w:r w:rsidRPr="00D17DED">
        <w:rPr>
          <w:i/>
        </w:rPr>
        <w:t>Schopfungsdifferenz</w:t>
      </w:r>
      <w:proofErr w:type="spellEnd"/>
      <w:r w:rsidRPr="00D17DED">
        <w:rPr>
          <w:i/>
        </w:rPr>
        <w:t xml:space="preserve">. </w:t>
      </w:r>
      <w:proofErr w:type="spellStart"/>
      <w:r w:rsidRPr="00D17DED">
        <w:rPr>
          <w:i/>
          <w:lang w:val="en-GB"/>
        </w:rPr>
        <w:t>Eine</w:t>
      </w:r>
      <w:proofErr w:type="spellEnd"/>
      <w:r w:rsidRPr="00D17DED">
        <w:rPr>
          <w:i/>
          <w:lang w:val="en-GB"/>
        </w:rPr>
        <w:t xml:space="preserve"> </w:t>
      </w:r>
      <w:proofErr w:type="spellStart"/>
      <w:r w:rsidRPr="00D17DED">
        <w:rPr>
          <w:i/>
          <w:lang w:val="en-GB"/>
        </w:rPr>
        <w:t>trinitätstheologische</w:t>
      </w:r>
      <w:proofErr w:type="spellEnd"/>
      <w:r w:rsidRPr="00D17DED">
        <w:rPr>
          <w:i/>
          <w:lang w:val="en-GB"/>
        </w:rPr>
        <w:t xml:space="preserve"> </w:t>
      </w:r>
      <w:proofErr w:type="spellStart"/>
      <w:r w:rsidRPr="00D17DED">
        <w:rPr>
          <w:i/>
          <w:lang w:val="en-GB"/>
        </w:rPr>
        <w:t>Erkundung</w:t>
      </w:r>
      <w:proofErr w:type="spellEnd"/>
      <w:r>
        <w:rPr>
          <w:lang w:val="en-GB"/>
        </w:rPr>
        <w:t xml:space="preserve">, in </w:t>
      </w:r>
      <w:r w:rsidRPr="00D17DED">
        <w:rPr>
          <w:smallCaps/>
          <w:lang w:val="en-GB"/>
        </w:rPr>
        <w:t>P. Walter</w:t>
      </w:r>
      <w:r>
        <w:rPr>
          <w:lang w:val="en-GB"/>
        </w:rPr>
        <w:t xml:space="preserve"> (</w:t>
      </w:r>
      <w:proofErr w:type="spellStart"/>
      <w:r>
        <w:rPr>
          <w:lang w:val="en-GB"/>
        </w:rPr>
        <w:t>ed</w:t>
      </w:r>
      <w:proofErr w:type="spellEnd"/>
      <w:r>
        <w:rPr>
          <w:lang w:val="en-GB"/>
        </w:rPr>
        <w:t xml:space="preserve">), </w:t>
      </w:r>
      <w:r w:rsidRPr="00D17DED">
        <w:rPr>
          <w:i/>
          <w:lang w:val="en-GB"/>
        </w:rPr>
        <w:t xml:space="preserve">Das </w:t>
      </w:r>
      <w:proofErr w:type="spellStart"/>
      <w:r w:rsidRPr="00D17DED">
        <w:rPr>
          <w:i/>
          <w:lang w:val="en-GB"/>
        </w:rPr>
        <w:t>Gewaltpotential</w:t>
      </w:r>
      <w:proofErr w:type="spellEnd"/>
      <w:r w:rsidRPr="00D17DED">
        <w:rPr>
          <w:i/>
          <w:lang w:val="en-GB"/>
        </w:rPr>
        <w:t xml:space="preserve"> des </w:t>
      </w:r>
      <w:proofErr w:type="spellStart"/>
      <w:r w:rsidRPr="00D17DED">
        <w:rPr>
          <w:i/>
          <w:lang w:val="en-GB"/>
        </w:rPr>
        <w:t>Monotheismus</w:t>
      </w:r>
      <w:proofErr w:type="spellEnd"/>
      <w:r w:rsidRPr="00D17DED">
        <w:rPr>
          <w:i/>
          <w:lang w:val="en-GB"/>
        </w:rPr>
        <w:t xml:space="preserve"> und der </w:t>
      </w:r>
      <w:proofErr w:type="spellStart"/>
      <w:r w:rsidRPr="00D17DED">
        <w:rPr>
          <w:i/>
          <w:lang w:val="en-GB"/>
        </w:rPr>
        <w:t>dreieine</w:t>
      </w:r>
      <w:proofErr w:type="spellEnd"/>
      <w:r w:rsidRPr="00D17DED">
        <w:rPr>
          <w:i/>
          <w:lang w:val="en-GB"/>
        </w:rPr>
        <w:t xml:space="preserve"> </w:t>
      </w:r>
      <w:proofErr w:type="spellStart"/>
      <w:r w:rsidRPr="00D17DED">
        <w:rPr>
          <w:i/>
          <w:lang w:val="en-GB"/>
        </w:rPr>
        <w:t>Gott</w:t>
      </w:r>
      <w:proofErr w:type="spellEnd"/>
      <w:r w:rsidRPr="0016368B">
        <w:rPr>
          <w:lang w:val="en-GB"/>
        </w:rPr>
        <w:t>, 132-153.</w:t>
      </w:r>
    </w:p>
  </w:footnote>
  <w:footnote w:id="4">
    <w:p w:rsidR="00747137" w:rsidRDefault="00747137" w:rsidP="00747137">
      <w:pPr>
        <w:pStyle w:val="Testonotaapidipagina"/>
        <w:jc w:val="both"/>
      </w:pPr>
      <w:r>
        <w:rPr>
          <w:rStyle w:val="Rimandonotaapidipagina"/>
        </w:rPr>
        <w:footnoteRef/>
      </w:r>
      <w:r>
        <w:t xml:space="preserve"> </w:t>
      </w:r>
      <w:r w:rsidRPr="007D6054">
        <w:rPr>
          <w:smallCaps/>
        </w:rPr>
        <w:t xml:space="preserve">A. </w:t>
      </w:r>
      <w:proofErr w:type="spellStart"/>
      <w:r w:rsidRPr="007D6054">
        <w:rPr>
          <w:smallCaps/>
        </w:rPr>
        <w:t>Bertuletti</w:t>
      </w:r>
      <w:proofErr w:type="spellEnd"/>
      <w:r>
        <w:t xml:space="preserve">, </w:t>
      </w:r>
      <w:r w:rsidRPr="007D6054">
        <w:rPr>
          <w:i/>
        </w:rPr>
        <w:t>Dio, il mistero dell’unico</w:t>
      </w:r>
      <w:r>
        <w:t>, Queriniana, Brescia 2014, 528.</w:t>
      </w:r>
    </w:p>
  </w:footnote>
  <w:footnote w:id="5">
    <w:p w:rsidR="00747137" w:rsidRPr="00542C44" w:rsidRDefault="00747137" w:rsidP="00747137">
      <w:pPr>
        <w:pStyle w:val="Testonotaapidipagina"/>
        <w:jc w:val="both"/>
      </w:pPr>
      <w:r>
        <w:rPr>
          <w:rStyle w:val="Rimandonotaapidipagina"/>
        </w:rPr>
        <w:footnoteRef/>
      </w:r>
      <w:r w:rsidRPr="003622F3">
        <w:rPr>
          <w:lang w:val="en-GB"/>
        </w:rPr>
        <w:t xml:space="preserve"> </w:t>
      </w:r>
      <w:r w:rsidRPr="003622F3">
        <w:rPr>
          <w:smallCaps/>
          <w:lang w:val="en-GB"/>
        </w:rPr>
        <w:t>G. Essen</w:t>
      </w:r>
      <w:r w:rsidRPr="003622F3">
        <w:rPr>
          <w:lang w:val="en-GB"/>
        </w:rPr>
        <w:t xml:space="preserve">, </w:t>
      </w:r>
      <w:r w:rsidRPr="003622F3">
        <w:rPr>
          <w:i/>
          <w:iCs/>
          <w:lang w:val="en-GB"/>
        </w:rPr>
        <w:t xml:space="preserve">Die </w:t>
      </w:r>
      <w:proofErr w:type="spellStart"/>
      <w:r w:rsidRPr="003622F3">
        <w:rPr>
          <w:i/>
          <w:iCs/>
          <w:lang w:val="en-GB"/>
        </w:rPr>
        <w:t>Freiheit</w:t>
      </w:r>
      <w:proofErr w:type="spellEnd"/>
      <w:r w:rsidRPr="003622F3">
        <w:rPr>
          <w:i/>
          <w:iCs/>
          <w:lang w:val="en-GB"/>
        </w:rPr>
        <w:t xml:space="preserve"> Jesu. </w:t>
      </w:r>
      <w:r w:rsidRPr="00811366">
        <w:rPr>
          <w:i/>
          <w:iCs/>
          <w:lang w:val="en-GB"/>
        </w:rPr>
        <w:t>De</w:t>
      </w:r>
      <w:r>
        <w:rPr>
          <w:i/>
          <w:iCs/>
          <w:lang w:val="en-GB"/>
        </w:rPr>
        <w:t xml:space="preserve">r </w:t>
      </w:r>
      <w:proofErr w:type="spellStart"/>
      <w:r>
        <w:rPr>
          <w:i/>
          <w:iCs/>
          <w:lang w:val="en-GB"/>
        </w:rPr>
        <w:t>neuchalkedonische</w:t>
      </w:r>
      <w:proofErr w:type="spellEnd"/>
      <w:r>
        <w:rPr>
          <w:i/>
          <w:iCs/>
          <w:lang w:val="en-GB"/>
        </w:rPr>
        <w:t xml:space="preserve"> </w:t>
      </w:r>
      <w:proofErr w:type="spellStart"/>
      <w:r>
        <w:rPr>
          <w:i/>
          <w:iCs/>
          <w:lang w:val="en-GB"/>
        </w:rPr>
        <w:t>Enypostasie</w:t>
      </w:r>
      <w:r w:rsidRPr="00811366">
        <w:rPr>
          <w:i/>
          <w:iCs/>
          <w:lang w:val="en-GB"/>
        </w:rPr>
        <w:t>begriff</w:t>
      </w:r>
      <w:proofErr w:type="spellEnd"/>
      <w:r w:rsidRPr="00811366">
        <w:rPr>
          <w:i/>
          <w:iCs/>
          <w:lang w:val="en-GB"/>
        </w:rPr>
        <w:t xml:space="preserve"> </w:t>
      </w:r>
      <w:proofErr w:type="spellStart"/>
      <w:r w:rsidRPr="00811366">
        <w:rPr>
          <w:i/>
          <w:iCs/>
          <w:lang w:val="en-GB"/>
        </w:rPr>
        <w:t>im</w:t>
      </w:r>
      <w:proofErr w:type="spellEnd"/>
      <w:r>
        <w:rPr>
          <w:i/>
          <w:iCs/>
          <w:lang w:val="en-GB"/>
        </w:rPr>
        <w:t xml:space="preserve"> </w:t>
      </w:r>
      <w:proofErr w:type="spellStart"/>
      <w:r>
        <w:rPr>
          <w:i/>
          <w:iCs/>
          <w:lang w:val="en-GB"/>
        </w:rPr>
        <w:t>Horizont</w:t>
      </w:r>
      <w:proofErr w:type="spellEnd"/>
      <w:r>
        <w:rPr>
          <w:i/>
          <w:iCs/>
          <w:lang w:val="en-GB"/>
        </w:rPr>
        <w:t xml:space="preserve"> </w:t>
      </w:r>
      <w:proofErr w:type="spellStart"/>
      <w:r>
        <w:rPr>
          <w:i/>
          <w:iCs/>
          <w:lang w:val="en-GB"/>
        </w:rPr>
        <w:t>neuzeitlicher</w:t>
      </w:r>
      <w:proofErr w:type="spellEnd"/>
      <w:r>
        <w:rPr>
          <w:i/>
          <w:iCs/>
          <w:lang w:val="en-GB"/>
        </w:rPr>
        <w:t xml:space="preserve"> </w:t>
      </w:r>
      <w:proofErr w:type="spellStart"/>
      <w:r>
        <w:rPr>
          <w:i/>
          <w:iCs/>
          <w:lang w:val="en-GB"/>
        </w:rPr>
        <w:t>Subjekt</w:t>
      </w:r>
      <w:proofErr w:type="spellEnd"/>
      <w:r>
        <w:rPr>
          <w:i/>
          <w:iCs/>
          <w:lang w:val="en-GB"/>
        </w:rPr>
        <w:t xml:space="preserve"> -</w:t>
      </w:r>
      <w:r w:rsidRPr="00811366">
        <w:rPr>
          <w:i/>
          <w:iCs/>
          <w:lang w:val="en-GB"/>
        </w:rPr>
        <w:t xml:space="preserve"> und </w:t>
      </w:r>
      <w:proofErr w:type="spellStart"/>
      <w:r w:rsidRPr="00811366">
        <w:rPr>
          <w:i/>
          <w:iCs/>
          <w:lang w:val="en-GB"/>
        </w:rPr>
        <w:t>Person</w:t>
      </w:r>
      <w:r>
        <w:rPr>
          <w:i/>
          <w:iCs/>
          <w:lang w:val="en-GB"/>
        </w:rPr>
        <w:t>s</w:t>
      </w:r>
      <w:r w:rsidRPr="00811366">
        <w:rPr>
          <w:i/>
          <w:iCs/>
          <w:lang w:val="en-GB"/>
        </w:rPr>
        <w:t>philosophie</w:t>
      </w:r>
      <w:proofErr w:type="spellEnd"/>
      <w:r>
        <w:rPr>
          <w:lang w:val="en-GB"/>
        </w:rPr>
        <w:t xml:space="preserve">, </w:t>
      </w:r>
      <w:r w:rsidRPr="00811366">
        <w:rPr>
          <w:lang w:val="en-GB"/>
        </w:rPr>
        <w:t xml:space="preserve">Friedrich </w:t>
      </w:r>
      <w:proofErr w:type="spellStart"/>
      <w:r w:rsidRPr="00811366">
        <w:rPr>
          <w:lang w:val="en-GB"/>
        </w:rPr>
        <w:t>Pustet</w:t>
      </w:r>
      <w:proofErr w:type="spellEnd"/>
      <w:r w:rsidRPr="00811366">
        <w:rPr>
          <w:lang w:val="en-GB"/>
        </w:rPr>
        <w:t xml:space="preserve"> </w:t>
      </w:r>
      <w:proofErr w:type="spellStart"/>
      <w:r w:rsidRPr="00811366">
        <w:rPr>
          <w:lang w:val="en-GB"/>
        </w:rPr>
        <w:t>Verlag</w:t>
      </w:r>
      <w:proofErr w:type="spellEnd"/>
      <w:r w:rsidRPr="00811366">
        <w:rPr>
          <w:lang w:val="en-GB"/>
        </w:rPr>
        <w:t xml:space="preserve">, </w:t>
      </w:r>
      <w:r>
        <w:rPr>
          <w:lang w:val="en-GB"/>
        </w:rPr>
        <w:t xml:space="preserve">Regensburg </w:t>
      </w:r>
      <w:r w:rsidRPr="00811366">
        <w:rPr>
          <w:lang w:val="en-GB"/>
        </w:rPr>
        <w:t>2001.</w:t>
      </w:r>
      <w:r>
        <w:rPr>
          <w:lang w:val="en-GB"/>
        </w:rPr>
        <w:t xml:space="preserve"> </w:t>
      </w:r>
      <w:r>
        <w:t xml:space="preserve">Si tratta di una riflessione che si colloca nell’ambito delle intuizioni dell’analitica (trascendentale) della libertà di H. </w:t>
      </w:r>
      <w:proofErr w:type="spellStart"/>
      <w:r>
        <w:t>Krings</w:t>
      </w:r>
      <w:proofErr w:type="spellEnd"/>
      <w:r>
        <w:t xml:space="preserve">, diffuse in ambito teologico da </w:t>
      </w:r>
      <w:proofErr w:type="spellStart"/>
      <w:r>
        <w:t>Th</w:t>
      </w:r>
      <w:proofErr w:type="spellEnd"/>
      <w:r>
        <w:t xml:space="preserve">. </w:t>
      </w:r>
      <w:proofErr w:type="spellStart"/>
      <w:r>
        <w:t>Pröpper</w:t>
      </w:r>
      <w:proofErr w:type="spellEnd"/>
      <w:r>
        <w:t xml:space="preserve">, di cui disponiamo in italiano di una suggestiva riflessione sulla salvezza in </w:t>
      </w:r>
      <w:r w:rsidRPr="00811366">
        <w:rPr>
          <w:i/>
          <w:iCs/>
        </w:rPr>
        <w:t>Redenzione e storia della libertà. Abbozzo di soteriologia</w:t>
      </w:r>
      <w:r>
        <w:t>,</w:t>
      </w:r>
      <w:r w:rsidRPr="00811366">
        <w:t xml:space="preserve"> Queriniana, </w:t>
      </w:r>
      <w:r>
        <w:t xml:space="preserve">Brescia 1990 e dello stimolante saggio </w:t>
      </w:r>
      <w:r w:rsidRPr="00A00CFA">
        <w:rPr>
          <w:i/>
        </w:rPr>
        <w:t>Vangelo, ragione, libertà. Lineamenti di un’ermeneutica teologica</w:t>
      </w:r>
      <w:r>
        <w:t>, EDB, Bologna 2008</w:t>
      </w:r>
      <w:r w:rsidRPr="00811366">
        <w:t>.</w:t>
      </w:r>
      <w:r>
        <w:t xml:space="preserve"> Il riferimento a questa proposta di revisione della cristologia è alla base del saggio teologico trinitario già citato di </w:t>
      </w:r>
      <w:r w:rsidRPr="00D17DED">
        <w:rPr>
          <w:smallCaps/>
        </w:rPr>
        <w:t xml:space="preserve">M. </w:t>
      </w:r>
      <w:proofErr w:type="spellStart"/>
      <w:r w:rsidRPr="00D17DED">
        <w:rPr>
          <w:smallCaps/>
        </w:rPr>
        <w:t>Striet</w:t>
      </w:r>
      <w:proofErr w:type="spellEnd"/>
      <w:r>
        <w:t xml:space="preserve">, </w:t>
      </w:r>
      <w:proofErr w:type="spellStart"/>
      <w:r w:rsidRPr="00D17DED">
        <w:rPr>
          <w:i/>
        </w:rPr>
        <w:t>Monotheismus</w:t>
      </w:r>
      <w:proofErr w:type="spellEnd"/>
      <w:r w:rsidRPr="00D17DED">
        <w:rPr>
          <w:i/>
        </w:rPr>
        <w:t xml:space="preserve"> und </w:t>
      </w:r>
      <w:proofErr w:type="spellStart"/>
      <w:r w:rsidRPr="00D17DED">
        <w:rPr>
          <w:i/>
        </w:rPr>
        <w:t>Schopfungsdifferenz</w:t>
      </w:r>
      <w:proofErr w:type="spellEnd"/>
      <w:r w:rsidRPr="00D17DED">
        <w:rPr>
          <w:i/>
        </w:rPr>
        <w:t xml:space="preserve">. </w:t>
      </w:r>
      <w:proofErr w:type="spellStart"/>
      <w:r w:rsidRPr="00D17DED">
        <w:rPr>
          <w:i/>
          <w:lang w:val="en-GB"/>
        </w:rPr>
        <w:t>Eine</w:t>
      </w:r>
      <w:proofErr w:type="spellEnd"/>
      <w:r w:rsidRPr="00D17DED">
        <w:rPr>
          <w:i/>
          <w:lang w:val="en-GB"/>
        </w:rPr>
        <w:t xml:space="preserve"> </w:t>
      </w:r>
      <w:proofErr w:type="spellStart"/>
      <w:r w:rsidRPr="00D17DED">
        <w:rPr>
          <w:i/>
          <w:lang w:val="en-GB"/>
        </w:rPr>
        <w:t>trinitätstheologische</w:t>
      </w:r>
      <w:proofErr w:type="spellEnd"/>
      <w:r w:rsidRPr="00D17DED">
        <w:rPr>
          <w:i/>
          <w:lang w:val="en-GB"/>
        </w:rPr>
        <w:t xml:space="preserve"> </w:t>
      </w:r>
      <w:proofErr w:type="spellStart"/>
      <w:r w:rsidRPr="00D17DED">
        <w:rPr>
          <w:i/>
          <w:lang w:val="en-GB"/>
        </w:rPr>
        <w:t>Erkundung</w:t>
      </w:r>
      <w:proofErr w:type="spellEnd"/>
      <w:r>
        <w:rPr>
          <w:lang w:val="en-GB"/>
        </w:rPr>
        <w:t xml:space="preserve">, in </w:t>
      </w:r>
      <w:r w:rsidRPr="00D17DED">
        <w:rPr>
          <w:smallCaps/>
          <w:lang w:val="en-GB"/>
        </w:rPr>
        <w:t>P. Walter</w:t>
      </w:r>
      <w:r>
        <w:rPr>
          <w:lang w:val="en-GB"/>
        </w:rPr>
        <w:t xml:space="preserve"> (</w:t>
      </w:r>
      <w:proofErr w:type="spellStart"/>
      <w:r>
        <w:rPr>
          <w:lang w:val="en-GB"/>
        </w:rPr>
        <w:t>ed</w:t>
      </w:r>
      <w:proofErr w:type="spellEnd"/>
      <w:r>
        <w:rPr>
          <w:lang w:val="en-GB"/>
        </w:rPr>
        <w:t xml:space="preserve">), </w:t>
      </w:r>
      <w:r w:rsidRPr="00D17DED">
        <w:rPr>
          <w:i/>
          <w:lang w:val="en-GB"/>
        </w:rPr>
        <w:t xml:space="preserve">Das </w:t>
      </w:r>
      <w:proofErr w:type="spellStart"/>
      <w:r w:rsidRPr="00D17DED">
        <w:rPr>
          <w:i/>
          <w:lang w:val="en-GB"/>
        </w:rPr>
        <w:t>Gewaltpotential</w:t>
      </w:r>
      <w:proofErr w:type="spellEnd"/>
      <w:r w:rsidRPr="00D17DED">
        <w:rPr>
          <w:i/>
          <w:lang w:val="en-GB"/>
        </w:rPr>
        <w:t xml:space="preserve"> des </w:t>
      </w:r>
      <w:proofErr w:type="spellStart"/>
      <w:r w:rsidRPr="00D17DED">
        <w:rPr>
          <w:i/>
          <w:lang w:val="en-GB"/>
        </w:rPr>
        <w:t>Monotheismus</w:t>
      </w:r>
      <w:proofErr w:type="spellEnd"/>
      <w:r w:rsidRPr="00D17DED">
        <w:rPr>
          <w:i/>
          <w:lang w:val="en-GB"/>
        </w:rPr>
        <w:t xml:space="preserve"> und der </w:t>
      </w:r>
      <w:proofErr w:type="spellStart"/>
      <w:r w:rsidRPr="00D17DED">
        <w:rPr>
          <w:i/>
          <w:lang w:val="en-GB"/>
        </w:rPr>
        <w:t>dreieine</w:t>
      </w:r>
      <w:proofErr w:type="spellEnd"/>
      <w:r w:rsidRPr="00D17DED">
        <w:rPr>
          <w:i/>
          <w:lang w:val="en-GB"/>
        </w:rPr>
        <w:t xml:space="preserve"> </w:t>
      </w:r>
      <w:proofErr w:type="spellStart"/>
      <w:r w:rsidRPr="00D17DED">
        <w:rPr>
          <w:i/>
          <w:lang w:val="en-GB"/>
        </w:rPr>
        <w:t>Gott</w:t>
      </w:r>
      <w:proofErr w:type="spellEnd"/>
      <w:r w:rsidRPr="0016368B">
        <w:rPr>
          <w:lang w:val="en-GB"/>
        </w:rPr>
        <w:t>, 132-153.</w:t>
      </w:r>
      <w:r>
        <w:rPr>
          <w:lang w:val="en-GB"/>
        </w:rPr>
        <w:t xml:space="preserve"> </w:t>
      </w:r>
      <w:r w:rsidRPr="00542C44">
        <w:t xml:space="preserve">Per una buona presentazione di questa proposta si veda </w:t>
      </w:r>
      <w:r w:rsidRPr="00A15A22">
        <w:rPr>
          <w:smallCaps/>
        </w:rPr>
        <w:t xml:space="preserve">I. </w:t>
      </w:r>
      <w:r>
        <w:rPr>
          <w:smallCaps/>
        </w:rPr>
        <w:t>Salvad</w:t>
      </w:r>
      <w:r w:rsidRPr="00A15A22">
        <w:rPr>
          <w:smallCaps/>
        </w:rPr>
        <w:t>ori</w:t>
      </w:r>
      <w:r>
        <w:t xml:space="preserve">, </w:t>
      </w:r>
      <w:r w:rsidRPr="00A15A22">
        <w:rPr>
          <w:i/>
        </w:rPr>
        <w:t>L’autocoscienza di Gesù. “In tutto simile a noi eccetto il peccato”</w:t>
      </w:r>
      <w:r>
        <w:t>, Città Nuova, Roma 2011, 271-344.</w:t>
      </w:r>
    </w:p>
  </w:footnote>
  <w:footnote w:id="6">
    <w:p w:rsidR="00747137" w:rsidRPr="003D19E6" w:rsidRDefault="00747137" w:rsidP="00747137">
      <w:pPr>
        <w:pStyle w:val="Testonotaapidipagina"/>
        <w:jc w:val="both"/>
        <w:rPr>
          <w:lang w:val="en-GB"/>
        </w:rPr>
      </w:pPr>
      <w:r w:rsidRPr="00811366">
        <w:rPr>
          <w:rStyle w:val="Rimandonotaapidipagina"/>
        </w:rPr>
        <w:footnoteRef/>
      </w:r>
      <w:r w:rsidRPr="003D19E6">
        <w:rPr>
          <w:lang w:val="en-GB"/>
        </w:rPr>
        <w:t xml:space="preserve"> </w:t>
      </w:r>
      <w:r w:rsidRPr="003622F3">
        <w:rPr>
          <w:smallCaps/>
          <w:lang w:val="en-GB"/>
        </w:rPr>
        <w:t>G. Essen</w:t>
      </w:r>
      <w:r w:rsidRPr="003622F3">
        <w:rPr>
          <w:lang w:val="en-GB"/>
        </w:rPr>
        <w:t xml:space="preserve">, </w:t>
      </w:r>
      <w:r>
        <w:rPr>
          <w:i/>
          <w:iCs/>
          <w:lang w:val="en-GB"/>
        </w:rPr>
        <w:t xml:space="preserve">Die </w:t>
      </w:r>
      <w:proofErr w:type="spellStart"/>
      <w:r>
        <w:rPr>
          <w:i/>
          <w:iCs/>
          <w:lang w:val="en-GB"/>
        </w:rPr>
        <w:t>Freiheit</w:t>
      </w:r>
      <w:proofErr w:type="spellEnd"/>
      <w:r>
        <w:rPr>
          <w:i/>
          <w:iCs/>
          <w:lang w:val="en-GB"/>
        </w:rPr>
        <w:t xml:space="preserve"> Jesu,</w:t>
      </w:r>
      <w:r w:rsidRPr="003D19E6">
        <w:rPr>
          <w:lang w:val="en-GB"/>
        </w:rPr>
        <w:t xml:space="preserve"> 328-29.331.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137"/>
    <w:rsid w:val="002F0722"/>
    <w:rsid w:val="00323189"/>
    <w:rsid w:val="007471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4713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 Carattere"/>
    <w:basedOn w:val="Normale"/>
    <w:link w:val="TestonotaapidipaginaCarattere"/>
    <w:semiHidden/>
    <w:rsid w:val="00747137"/>
    <w:rPr>
      <w:sz w:val="20"/>
      <w:szCs w:val="20"/>
    </w:rPr>
  </w:style>
  <w:style w:type="character" w:customStyle="1" w:styleId="TestonotaapidipaginaCarattere">
    <w:name w:val="Testo nota a piè di pagina Carattere"/>
    <w:aliases w:val=" Carattere Carattere"/>
    <w:basedOn w:val="Carpredefinitoparagrafo"/>
    <w:link w:val="Testonotaapidipagina"/>
    <w:semiHidden/>
    <w:rsid w:val="00747137"/>
    <w:rPr>
      <w:rFonts w:ascii="Times New Roman" w:eastAsia="Times New Roman" w:hAnsi="Times New Roman" w:cs="Times New Roman"/>
      <w:sz w:val="20"/>
      <w:szCs w:val="20"/>
      <w:lang w:eastAsia="it-IT"/>
    </w:rPr>
  </w:style>
  <w:style w:type="character" w:styleId="Rimandonotaapidipagina">
    <w:name w:val="footnote reference"/>
    <w:semiHidden/>
    <w:rsid w:val="0074713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4713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 Carattere"/>
    <w:basedOn w:val="Normale"/>
    <w:link w:val="TestonotaapidipaginaCarattere"/>
    <w:semiHidden/>
    <w:rsid w:val="00747137"/>
    <w:rPr>
      <w:sz w:val="20"/>
      <w:szCs w:val="20"/>
    </w:rPr>
  </w:style>
  <w:style w:type="character" w:customStyle="1" w:styleId="TestonotaapidipaginaCarattere">
    <w:name w:val="Testo nota a piè di pagina Carattere"/>
    <w:aliases w:val=" Carattere Carattere"/>
    <w:basedOn w:val="Carpredefinitoparagrafo"/>
    <w:link w:val="Testonotaapidipagina"/>
    <w:semiHidden/>
    <w:rsid w:val="00747137"/>
    <w:rPr>
      <w:rFonts w:ascii="Times New Roman" w:eastAsia="Times New Roman" w:hAnsi="Times New Roman" w:cs="Times New Roman"/>
      <w:sz w:val="20"/>
      <w:szCs w:val="20"/>
      <w:lang w:eastAsia="it-IT"/>
    </w:rPr>
  </w:style>
  <w:style w:type="character" w:styleId="Rimandonotaapidipagina">
    <w:name w:val="footnote reference"/>
    <w:semiHidden/>
    <w:rsid w:val="007471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2439</Words>
  <Characters>13905</Characters>
  <Application>Microsoft Office Word</Application>
  <DocSecurity>0</DocSecurity>
  <Lines>115</Lines>
  <Paragraphs>32</Paragraphs>
  <ScaleCrop>false</ScaleCrop>
  <Company>Hewlett-Packard</Company>
  <LinksUpToDate>false</LinksUpToDate>
  <CharactersWithSpaces>16312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1</cp:revision>
  <dcterms:created xsi:type="dcterms:W3CDTF">2023-12-18T15:49:00Z</dcterms:created>
  <dcterms:modified xsi:type="dcterms:W3CDTF">2023-12-18T15:53:00Z</dcterms:modified>
</cp:coreProperties>
</file>