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0A6B" w:rsidRDefault="001F0A6B" w:rsidP="001F0A6B">
      <w:pPr>
        <w:spacing w:after="0" w:line="360" w:lineRule="auto"/>
        <w:ind w:firstLine="284"/>
        <w:jc w:val="center"/>
        <w:rPr>
          <w:rFonts w:cstheme="minorHAnsi"/>
          <w:b/>
          <w:bCs/>
          <w:sz w:val="28"/>
          <w:szCs w:val="28"/>
        </w:rPr>
      </w:pPr>
      <w:r>
        <w:rPr>
          <w:noProof/>
        </w:rPr>
        <w:drawing>
          <wp:inline distT="0" distB="0" distL="0" distR="0">
            <wp:extent cx="4336888" cy="6134100"/>
            <wp:effectExtent l="0" t="0" r="698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3723" cy="6157911"/>
                    </a:xfrm>
                    <a:prstGeom prst="rect">
                      <a:avLst/>
                    </a:prstGeom>
                    <a:noFill/>
                    <a:ln>
                      <a:noFill/>
                    </a:ln>
                  </pic:spPr>
                </pic:pic>
              </a:graphicData>
            </a:graphic>
          </wp:inline>
        </w:drawing>
      </w:r>
    </w:p>
    <w:p w:rsidR="001F0A6B" w:rsidRPr="001F0A6B" w:rsidRDefault="001F0A6B" w:rsidP="001F0A6B">
      <w:pPr>
        <w:spacing w:after="0" w:line="360" w:lineRule="auto"/>
        <w:ind w:firstLine="284"/>
        <w:jc w:val="center"/>
        <w:rPr>
          <w:rFonts w:cstheme="minorHAnsi"/>
          <w:b/>
          <w:bCs/>
          <w:color w:val="0070C0"/>
          <w:sz w:val="28"/>
          <w:szCs w:val="28"/>
        </w:rPr>
      </w:pPr>
      <w:r>
        <w:rPr>
          <w:rFonts w:cstheme="minorHAnsi"/>
          <w:b/>
          <w:bCs/>
          <w:color w:val="0070C0"/>
          <w:sz w:val="28"/>
          <w:szCs w:val="28"/>
        </w:rPr>
        <w:t>4.5.2023</w:t>
      </w:r>
    </w:p>
    <w:p w:rsidR="001F0A6B" w:rsidRDefault="001F0A6B" w:rsidP="001F0A6B">
      <w:pPr>
        <w:spacing w:after="0" w:line="360" w:lineRule="auto"/>
        <w:ind w:firstLine="284"/>
        <w:jc w:val="center"/>
        <w:rPr>
          <w:rFonts w:cstheme="minorHAnsi"/>
          <w:b/>
          <w:bCs/>
          <w:sz w:val="28"/>
          <w:szCs w:val="28"/>
        </w:rPr>
      </w:pPr>
    </w:p>
    <w:p w:rsidR="001F0A6B" w:rsidRDefault="001F0A6B" w:rsidP="001F0A6B">
      <w:pPr>
        <w:spacing w:after="0" w:line="360" w:lineRule="auto"/>
        <w:ind w:firstLine="284"/>
        <w:jc w:val="center"/>
        <w:rPr>
          <w:rFonts w:cstheme="minorHAnsi"/>
          <w:b/>
          <w:bCs/>
          <w:sz w:val="28"/>
          <w:szCs w:val="28"/>
        </w:rPr>
      </w:pPr>
      <w:r w:rsidRPr="00DB474F">
        <w:rPr>
          <w:rFonts w:cstheme="minorHAnsi"/>
          <w:b/>
          <w:bCs/>
          <w:sz w:val="28"/>
          <w:szCs w:val="28"/>
        </w:rPr>
        <w:t>Prefazione</w:t>
      </w:r>
    </w:p>
    <w:p w:rsidR="001F0A6B" w:rsidRPr="00DB474F" w:rsidRDefault="001F0A6B" w:rsidP="001F0A6B">
      <w:pPr>
        <w:spacing w:after="0" w:line="360" w:lineRule="auto"/>
        <w:ind w:firstLine="284"/>
        <w:jc w:val="center"/>
        <w:rPr>
          <w:rFonts w:cstheme="minorHAnsi"/>
          <w:b/>
          <w:bCs/>
          <w:sz w:val="28"/>
          <w:szCs w:val="28"/>
        </w:rPr>
      </w:pPr>
    </w:p>
    <w:p w:rsidR="001F0A6B" w:rsidRDefault="001F0A6B" w:rsidP="001F0A6B">
      <w:pPr>
        <w:spacing w:after="0" w:line="360" w:lineRule="auto"/>
        <w:ind w:firstLine="284"/>
        <w:jc w:val="both"/>
        <w:rPr>
          <w:rFonts w:cstheme="minorHAnsi"/>
          <w:sz w:val="28"/>
          <w:szCs w:val="28"/>
        </w:rPr>
      </w:pPr>
      <w:r>
        <w:rPr>
          <w:rFonts w:cstheme="minorHAnsi"/>
          <w:sz w:val="28"/>
          <w:szCs w:val="28"/>
        </w:rPr>
        <w:t>Tutti sanno di dover morire. È una certezza circondata da un non sapere; si ignora, infatti, il quando, il come e il dove. Ancora maggiore è l’incertezza legata all’ interrogativo sul dopo.</w:t>
      </w:r>
      <w:r w:rsidRPr="00BF3D1C">
        <w:rPr>
          <w:rFonts w:cstheme="minorHAnsi"/>
          <w:sz w:val="28"/>
          <w:szCs w:val="28"/>
        </w:rPr>
        <w:t xml:space="preserve"> </w:t>
      </w:r>
      <w:r w:rsidRPr="00196F04">
        <w:rPr>
          <w:rFonts w:cstheme="minorHAnsi"/>
          <w:sz w:val="28"/>
          <w:szCs w:val="28"/>
        </w:rPr>
        <w:t xml:space="preserve">Cosa avvenga all'essere umano quando i suoi occhi si chiudono all’esistenza terrena è domanda che non trova risposta nell’esperienza di alcun vivente. Eppure la questione si pone. Per qualcuno l'interrogativo trova nell’animo </w:t>
      </w:r>
      <w:r w:rsidRPr="00196F04">
        <w:rPr>
          <w:rFonts w:cstheme="minorHAnsi"/>
          <w:sz w:val="28"/>
          <w:szCs w:val="28"/>
        </w:rPr>
        <w:lastRenderedPageBreak/>
        <w:t>rispost</w:t>
      </w:r>
      <w:r>
        <w:rPr>
          <w:rFonts w:cstheme="minorHAnsi"/>
          <w:sz w:val="28"/>
          <w:szCs w:val="28"/>
        </w:rPr>
        <w:t>e prive di incrinature</w:t>
      </w:r>
      <w:r w:rsidRPr="00196F04">
        <w:rPr>
          <w:rFonts w:cstheme="minorHAnsi"/>
          <w:sz w:val="28"/>
          <w:szCs w:val="28"/>
        </w:rPr>
        <w:t xml:space="preserve"> </w:t>
      </w:r>
      <w:r>
        <w:rPr>
          <w:rFonts w:cstheme="minorHAnsi"/>
          <w:sz w:val="28"/>
          <w:szCs w:val="28"/>
        </w:rPr>
        <w:t xml:space="preserve">o </w:t>
      </w:r>
      <w:r w:rsidRPr="00196F04">
        <w:rPr>
          <w:rFonts w:cstheme="minorHAnsi"/>
          <w:sz w:val="28"/>
          <w:szCs w:val="28"/>
        </w:rPr>
        <w:t>sul versante di una vita che non avrà fine o su quello opposto di un integrale venir meno</w:t>
      </w:r>
      <w:r>
        <w:rPr>
          <w:rFonts w:cstheme="minorHAnsi"/>
          <w:sz w:val="28"/>
          <w:szCs w:val="28"/>
        </w:rPr>
        <w:t>.</w:t>
      </w:r>
      <w:r w:rsidRPr="00196F04">
        <w:rPr>
          <w:rFonts w:cstheme="minorHAnsi"/>
          <w:sz w:val="28"/>
          <w:szCs w:val="28"/>
        </w:rPr>
        <w:t xml:space="preserve"> </w:t>
      </w:r>
      <w:r>
        <w:rPr>
          <w:rFonts w:cstheme="minorHAnsi"/>
          <w:sz w:val="28"/>
          <w:szCs w:val="28"/>
        </w:rPr>
        <w:t>P</w:t>
      </w:r>
      <w:r w:rsidRPr="00196F04">
        <w:rPr>
          <w:rFonts w:cstheme="minorHAnsi"/>
          <w:sz w:val="28"/>
          <w:szCs w:val="28"/>
        </w:rPr>
        <w:t xml:space="preserve">er altri l’aldilà resta il «grande forse» (come lo definì Rabelais). Anzi, nella mobilità che la contraddistingue, la </w:t>
      </w:r>
      <w:r>
        <w:rPr>
          <w:rFonts w:cstheme="minorHAnsi"/>
          <w:sz w:val="28"/>
          <w:szCs w:val="28"/>
        </w:rPr>
        <w:t>mente</w:t>
      </w:r>
      <w:r w:rsidRPr="00196F04">
        <w:rPr>
          <w:rFonts w:cstheme="minorHAnsi"/>
          <w:sz w:val="28"/>
          <w:szCs w:val="28"/>
        </w:rPr>
        <w:t xml:space="preserve"> delle persone può, in tempi successivi, passare dall’una all’altra convinzione o oscillare più volte tra dubbio e cer</w:t>
      </w:r>
      <w:r>
        <w:rPr>
          <w:rFonts w:cstheme="minorHAnsi"/>
          <w:sz w:val="28"/>
          <w:szCs w:val="28"/>
        </w:rPr>
        <w:t>tezza.</w:t>
      </w:r>
    </w:p>
    <w:p w:rsidR="001F0A6B" w:rsidRDefault="001F0A6B" w:rsidP="001F0A6B">
      <w:pPr>
        <w:spacing w:after="0" w:line="360" w:lineRule="auto"/>
        <w:ind w:firstLine="284"/>
        <w:jc w:val="both"/>
        <w:rPr>
          <w:rFonts w:cstheme="minorHAnsi"/>
          <w:sz w:val="28"/>
          <w:szCs w:val="28"/>
        </w:rPr>
      </w:pPr>
      <w:r>
        <w:rPr>
          <w:rFonts w:cstheme="minorHAnsi"/>
          <w:sz w:val="28"/>
          <w:szCs w:val="28"/>
        </w:rPr>
        <w:t>Il futuro trapasso è un dato sicuro circondato da punti interrogativi: sappiamo che ci sarà ma ignoriamo le circostanze nelle quali avverrà. Un’esperienza sgombra da qualsiasi alone di dubbio è invece quella della morte degli altri. È dato inconfutabile che l’allungarsi della nostra esistenza sia affiancato dal dilatarsi dell’area riservata a coloro che hanno già compiuto il grande passo. Una realtà che ci tocca da vicino, specie quando si tratta di persone che abbiamo amato e conosciuto. L’esistenza di ciascuno è accompagnata da un numero crescente di morti. In un certo senso, noi viventi siamo tutti dei sopravvissuti. Pensare ai propri morti è esperienza antropologica remota: una delle attestazioni primordiali della civiltà umana sta nell’elaborazione di riti funebri.  L’atto di onorare i defunti si pone sul crinale situato tra il nostro sopravvivere e la domanda aperta sul “dopo”. Considerazioni non dissimili valgono per i modi elaborati dai viventi per accompagnare il trapasso di altri esseri umani. L’era della tecnica, in particolare allorché si dimostra in grado di costruire un mondo liminale o virtuale, sta profondamente mutando molti di questi parametri; Naḥmanide (Ramban) è, però, un autore medievale, un dato di fatto che ci esonera dall’entrare in problemi per lui inimmaginabili.</w:t>
      </w:r>
    </w:p>
    <w:p w:rsidR="001F0A6B" w:rsidRDefault="001F0A6B" w:rsidP="001F0A6B">
      <w:pPr>
        <w:spacing w:after="0" w:line="360" w:lineRule="auto"/>
        <w:ind w:firstLine="284"/>
        <w:jc w:val="both"/>
        <w:rPr>
          <w:rFonts w:eastAsia="Times New Roman" w:cstheme="minorHAnsi"/>
          <w:bCs/>
          <w:iCs/>
          <w:sz w:val="28"/>
          <w:szCs w:val="28"/>
          <w:highlight w:val="white"/>
        </w:rPr>
      </w:pPr>
      <w:r>
        <w:rPr>
          <w:rFonts w:cstheme="minorHAnsi"/>
          <w:sz w:val="28"/>
          <w:szCs w:val="28"/>
        </w:rPr>
        <w:t>Come ci ricorda Tiziana Mayer nella sua limpida introduzione,</w:t>
      </w:r>
      <w:r w:rsidRPr="00AB0C94">
        <w:rPr>
          <w:rFonts w:asciiTheme="majorHAnsi" w:eastAsia="Times New Roman" w:hAnsiTheme="majorHAnsi" w:cstheme="majorHAnsi"/>
          <w:b/>
          <w:sz w:val="28"/>
          <w:szCs w:val="28"/>
          <w:highlight w:val="white"/>
        </w:rPr>
        <w:t xml:space="preserve"> </w:t>
      </w:r>
      <w:r w:rsidRPr="00AB0C94">
        <w:rPr>
          <w:rFonts w:eastAsia="Times New Roman" w:cstheme="minorHAnsi"/>
          <w:bCs/>
          <w:sz w:val="28"/>
          <w:szCs w:val="28"/>
          <w:highlight w:val="white"/>
        </w:rPr>
        <w:t>lo</w:t>
      </w:r>
      <w:r w:rsidRPr="00AB0C94">
        <w:rPr>
          <w:rFonts w:eastAsia="Times New Roman" w:cstheme="minorHAnsi"/>
          <w:bCs/>
          <w:i/>
          <w:sz w:val="28"/>
          <w:szCs w:val="28"/>
          <w:highlight w:val="white"/>
        </w:rPr>
        <w:t xml:space="preserve"> </w:t>
      </w:r>
      <w:bookmarkStart w:id="0" w:name="_Hlk118872666"/>
      <w:r w:rsidRPr="00AB0C94">
        <w:rPr>
          <w:rFonts w:eastAsia="Times New Roman" w:cstheme="minorHAnsi"/>
          <w:bCs/>
          <w:i/>
          <w:sz w:val="28"/>
          <w:szCs w:val="28"/>
          <w:highlight w:val="white"/>
        </w:rPr>
        <w:t>Ša’ar ha gemul</w:t>
      </w:r>
      <w:r>
        <w:rPr>
          <w:rFonts w:eastAsia="Times New Roman" w:cstheme="minorHAnsi"/>
          <w:bCs/>
          <w:i/>
          <w:sz w:val="28"/>
          <w:szCs w:val="28"/>
          <w:highlight w:val="white"/>
        </w:rPr>
        <w:t xml:space="preserve"> </w:t>
      </w:r>
      <w:bookmarkEnd w:id="0"/>
      <w:r>
        <w:rPr>
          <w:rFonts w:eastAsia="Times New Roman" w:cstheme="minorHAnsi"/>
          <w:bCs/>
          <w:iCs/>
          <w:sz w:val="28"/>
          <w:szCs w:val="28"/>
          <w:highlight w:val="white"/>
        </w:rPr>
        <w:t xml:space="preserve">costituisce «il </w:t>
      </w:r>
      <w:r>
        <w:rPr>
          <w:rFonts w:eastAsia="Times New Roman" w:cstheme="minorHAnsi"/>
          <w:sz w:val="28"/>
          <w:szCs w:val="28"/>
          <w:highlight w:val="white"/>
        </w:rPr>
        <w:t>c</w:t>
      </w:r>
      <w:r w:rsidRPr="00AB0C94">
        <w:rPr>
          <w:rFonts w:eastAsia="Times New Roman" w:cstheme="minorHAnsi"/>
          <w:sz w:val="28"/>
          <w:szCs w:val="28"/>
          <w:highlight w:val="white"/>
        </w:rPr>
        <w:t xml:space="preserve">apitolo finale del più ampio trattato </w:t>
      </w:r>
      <w:r w:rsidRPr="00AB0C94">
        <w:rPr>
          <w:rFonts w:eastAsia="Times New Roman" w:cstheme="minorHAnsi"/>
          <w:i/>
          <w:sz w:val="28"/>
          <w:szCs w:val="28"/>
          <w:highlight w:val="white"/>
        </w:rPr>
        <w:t>Torat Adam</w:t>
      </w:r>
      <w:r w:rsidRPr="00AB0C94">
        <w:rPr>
          <w:rFonts w:eastAsia="Times New Roman" w:cstheme="minorHAnsi"/>
          <w:sz w:val="28"/>
          <w:szCs w:val="28"/>
          <w:highlight w:val="white"/>
        </w:rPr>
        <w:t xml:space="preserve">, </w:t>
      </w:r>
      <w:r w:rsidRPr="00AB0C94">
        <w:rPr>
          <w:rFonts w:eastAsia="Times New Roman" w:cstheme="minorHAnsi"/>
          <w:i/>
          <w:sz w:val="28"/>
          <w:szCs w:val="28"/>
          <w:highlight w:val="white"/>
        </w:rPr>
        <w:t>La legge dell’uomo</w:t>
      </w:r>
      <w:r w:rsidRPr="00AB0C94">
        <w:rPr>
          <w:rFonts w:eastAsia="Times New Roman" w:cstheme="minorHAnsi"/>
          <w:sz w:val="28"/>
          <w:szCs w:val="28"/>
          <w:highlight w:val="white"/>
        </w:rPr>
        <w:t>, concernente le regole di comportamento in materia di infermità, visite a malati, confessioni in punto di morte, lutto, sepoltura e funerali</w:t>
      </w:r>
      <w:r>
        <w:rPr>
          <w:rFonts w:eastAsia="Times New Roman" w:cstheme="minorHAnsi"/>
          <w:sz w:val="28"/>
          <w:szCs w:val="28"/>
          <w:highlight w:val="white"/>
        </w:rPr>
        <w:t xml:space="preserve">». Nell’opera di Naḥmanide la visione dell’aldilà si prospetta, quindi, in continuità con l’assistenza ai malati, con il modo in cui i moribondi si preparano a varcare l’ultima soglia e con i funerali, la sepoltura e il lutto. Il passaggio da questa vita alla porta (non di casa, ma di città) della </w:t>
      </w:r>
      <w:r>
        <w:rPr>
          <w:rFonts w:eastAsia="Times New Roman" w:cstheme="minorHAnsi"/>
          <w:sz w:val="28"/>
          <w:szCs w:val="28"/>
          <w:highlight w:val="white"/>
        </w:rPr>
        <w:lastRenderedPageBreak/>
        <w:t xml:space="preserve">ricompensa (questo il senso di </w:t>
      </w:r>
      <w:r w:rsidRPr="00AB0C94">
        <w:rPr>
          <w:rFonts w:eastAsia="Times New Roman" w:cstheme="minorHAnsi"/>
          <w:bCs/>
          <w:i/>
          <w:sz w:val="28"/>
          <w:szCs w:val="28"/>
          <w:highlight w:val="white"/>
        </w:rPr>
        <w:t>Ša’ar ha gemul</w:t>
      </w:r>
      <w:r>
        <w:rPr>
          <w:rFonts w:eastAsia="Times New Roman" w:cstheme="minorHAnsi"/>
          <w:bCs/>
          <w:iCs/>
          <w:sz w:val="28"/>
          <w:szCs w:val="28"/>
          <w:highlight w:val="white"/>
        </w:rPr>
        <w:t xml:space="preserve">) più che al funerale e alla sepoltura - che è compito dei vivi - ha a che fare con la confessione di peccato. Nell’atto di congedarsi dall’esistenza terrena, la persona può chiedere di essere perdonata da coloro verso cui si sente in colpa; in modo ancor più pregnante, può concedere il perdono a che glielo sta domandando. Sono atti umanamente nobili, radicati, comunque, in un passato che si sta chiudendo. Nessuno di essi è nelle condizioni di diventare un compagno per un cammino posto oltre il velo della morte. Dal canto suo, la confessione di peccato, lungi dal ridursi a un congedo, è aperta verso l’altra vita. </w:t>
      </w:r>
    </w:p>
    <w:p w:rsidR="001F0A6B" w:rsidRDefault="001F0A6B" w:rsidP="001F0A6B">
      <w:pPr>
        <w:spacing w:after="0" w:line="360" w:lineRule="auto"/>
        <w:ind w:firstLine="284"/>
        <w:jc w:val="both"/>
        <w:rPr>
          <w:rFonts w:eastAsia="Times New Roman" w:cstheme="minorHAnsi"/>
          <w:bCs/>
          <w:iCs/>
          <w:sz w:val="28"/>
          <w:szCs w:val="28"/>
          <w:highlight w:val="white"/>
        </w:rPr>
      </w:pPr>
      <w:r>
        <w:rPr>
          <w:rFonts w:eastAsia="Times New Roman" w:cstheme="minorHAnsi"/>
          <w:bCs/>
          <w:iCs/>
          <w:sz w:val="28"/>
          <w:szCs w:val="28"/>
          <w:highlight w:val="white"/>
        </w:rPr>
        <w:t xml:space="preserve">Perché, come dice il Salmo (31,6), non basta il puro affidarsi alle mani divine? Perché, per presentarsi a Dio, occorre ammettere che si è peccato? La risposta obbligata sta nell’affermare che ci troviamo di fronte alla convinzione secondo cui il passaggio da questa vita all’altra avviene attraverso la porta di un giudizio che ruota sui cardini della giustizia e della misericordia. L’uscio costituisce un raccordo, unisce il dentro e il fuori. Così avviene anche per il giudizio divino; gli è consentito di rappresentare l’ingresso nell’aldilà soltanto perché già presente, sia pure in forma non pienamente manifesta, nelle vicende individuali e collettive proprie di questo mondo. Ci troviamo di fronte a una forma di connessione tra aldiquà e aldilà che regge ogni riga dello </w:t>
      </w:r>
      <w:bookmarkStart w:id="1" w:name="_Hlk119064237"/>
      <w:r w:rsidRPr="000C53AB">
        <w:rPr>
          <w:rFonts w:eastAsia="Times New Roman" w:cstheme="minorHAnsi"/>
          <w:bCs/>
          <w:i/>
          <w:sz w:val="28"/>
          <w:szCs w:val="28"/>
          <w:highlight w:val="white"/>
        </w:rPr>
        <w:t>Ša’ar</w:t>
      </w:r>
      <w:r w:rsidRPr="00AB0C94">
        <w:rPr>
          <w:rFonts w:eastAsia="Times New Roman" w:cstheme="minorHAnsi"/>
          <w:bCs/>
          <w:i/>
          <w:sz w:val="28"/>
          <w:szCs w:val="28"/>
          <w:highlight w:val="white"/>
        </w:rPr>
        <w:t xml:space="preserve"> ha </w:t>
      </w:r>
      <w:bookmarkStart w:id="2" w:name="_Hlk118902988"/>
      <w:r w:rsidRPr="00AB0C94">
        <w:rPr>
          <w:rFonts w:eastAsia="Times New Roman" w:cstheme="minorHAnsi"/>
          <w:bCs/>
          <w:i/>
          <w:sz w:val="28"/>
          <w:szCs w:val="28"/>
          <w:highlight w:val="white"/>
        </w:rPr>
        <w:t>gemul</w:t>
      </w:r>
      <w:bookmarkEnd w:id="1"/>
      <w:bookmarkEnd w:id="2"/>
      <w:r>
        <w:rPr>
          <w:rFonts w:eastAsia="Times New Roman" w:cstheme="minorHAnsi"/>
          <w:bCs/>
          <w:iCs/>
          <w:sz w:val="28"/>
          <w:szCs w:val="28"/>
          <w:highlight w:val="white"/>
        </w:rPr>
        <w:t>.</w:t>
      </w:r>
    </w:p>
    <w:p w:rsidR="001F0A6B" w:rsidRDefault="001F0A6B" w:rsidP="001F0A6B">
      <w:pPr>
        <w:spacing w:after="0" w:line="360" w:lineRule="auto"/>
        <w:ind w:firstLine="284"/>
        <w:jc w:val="both"/>
        <w:rPr>
          <w:rFonts w:eastAsia="Times New Roman" w:cstheme="minorHAnsi"/>
          <w:bCs/>
          <w:iCs/>
          <w:sz w:val="28"/>
          <w:szCs w:val="28"/>
          <w:highlight w:val="white"/>
        </w:rPr>
      </w:pPr>
      <w:r>
        <w:rPr>
          <w:rFonts w:eastAsia="Times New Roman" w:cstheme="minorHAnsi"/>
          <w:bCs/>
          <w:iCs/>
          <w:sz w:val="28"/>
          <w:szCs w:val="28"/>
          <w:highlight w:val="white"/>
        </w:rPr>
        <w:t xml:space="preserve">Si è esposti al giudizio di Dio perché vi è la realtà o almeno la possibilità che, consapevolmente o inavvertitamente, si siano trasgrediti dei precetti rivelati; in altre parole, si siano compiute colpe specifiche nei Suoi confronti. L’eteronomia del comando dà ragione del fatto che manchi un legame intrinseco tra l’azione e le sue conseguenze. Se si bevono alcolici in quantità eccessiva si diventa ubriachi senza che intervenga alcun fattore esterno; se si mangiano cibi sani durante il digiuno di Yom Kippur l’organismo non subisce alcun danno. Perché ci sia una colpa occorre la presenza di un precetto che prescrive di digiunare; perché questa violazione riceva una punizione è necessaria una realtà esterna che la commini. Sul fronte opposto lo stesso andamento vale per l’osservanza; se c’è ricompensa, essa giunge da fuori. </w:t>
      </w:r>
    </w:p>
    <w:p w:rsidR="001F0A6B" w:rsidRDefault="001F0A6B" w:rsidP="001F0A6B">
      <w:pPr>
        <w:tabs>
          <w:tab w:val="left" w:pos="567"/>
        </w:tabs>
        <w:spacing w:after="0" w:line="360" w:lineRule="auto"/>
        <w:ind w:firstLine="284"/>
        <w:jc w:val="both"/>
        <w:rPr>
          <w:rFonts w:cstheme="minorHAnsi"/>
          <w:sz w:val="28"/>
        </w:rPr>
      </w:pPr>
      <w:r w:rsidRPr="00E536B7">
        <w:rPr>
          <w:sz w:val="28"/>
          <w:szCs w:val="28"/>
        </w:rPr>
        <w:lastRenderedPageBreak/>
        <w:t>La figura del Dio giudice</w:t>
      </w:r>
      <w:r>
        <w:rPr>
          <w:sz w:val="28"/>
          <w:szCs w:val="28"/>
        </w:rPr>
        <w:t xml:space="preserve"> è un </w:t>
      </w:r>
      <w:r w:rsidRPr="00E536B7">
        <w:rPr>
          <w:sz w:val="28"/>
          <w:szCs w:val="28"/>
        </w:rPr>
        <w:t>tema biblico</w:t>
      </w:r>
      <w:r>
        <w:rPr>
          <w:sz w:val="28"/>
          <w:szCs w:val="28"/>
        </w:rPr>
        <w:t>, giudaico</w:t>
      </w:r>
      <w:r w:rsidRPr="00E536B7">
        <w:rPr>
          <w:sz w:val="28"/>
          <w:szCs w:val="28"/>
        </w:rPr>
        <w:t xml:space="preserve"> e coranico che</w:t>
      </w:r>
      <w:r>
        <w:rPr>
          <w:sz w:val="28"/>
          <w:szCs w:val="28"/>
        </w:rPr>
        <w:t>,</w:t>
      </w:r>
      <w:r w:rsidRPr="00E536B7">
        <w:rPr>
          <w:sz w:val="28"/>
          <w:szCs w:val="28"/>
        </w:rPr>
        <w:t xml:space="preserve"> </w:t>
      </w:r>
      <w:r>
        <w:rPr>
          <w:sz w:val="28"/>
          <w:szCs w:val="28"/>
        </w:rPr>
        <w:t xml:space="preserve">se confrontato con </w:t>
      </w:r>
      <w:r w:rsidRPr="00E536B7">
        <w:rPr>
          <w:sz w:val="28"/>
          <w:szCs w:val="28"/>
        </w:rPr>
        <w:t>orizzonti più lontani</w:t>
      </w:r>
      <w:r>
        <w:rPr>
          <w:sz w:val="28"/>
          <w:szCs w:val="28"/>
        </w:rPr>
        <w:t xml:space="preserve">, evidenzia il fatto </w:t>
      </w:r>
      <w:r w:rsidRPr="00E536B7">
        <w:rPr>
          <w:sz w:val="28"/>
          <w:szCs w:val="28"/>
        </w:rPr>
        <w:t>che il giudizio divino presuppone la</w:t>
      </w:r>
      <w:r>
        <w:rPr>
          <w:sz w:val="28"/>
          <w:szCs w:val="28"/>
        </w:rPr>
        <w:t xml:space="preserve"> non autosufficienza delle</w:t>
      </w:r>
      <w:r w:rsidRPr="00E536B7">
        <w:rPr>
          <w:sz w:val="28"/>
          <w:szCs w:val="28"/>
        </w:rPr>
        <w:t xml:space="preserve"> leggi che regolano il </w:t>
      </w:r>
      <w:r>
        <w:rPr>
          <w:sz w:val="28"/>
          <w:szCs w:val="28"/>
        </w:rPr>
        <w:t xml:space="preserve">nostro </w:t>
      </w:r>
      <w:r w:rsidRPr="00E536B7">
        <w:rPr>
          <w:sz w:val="28"/>
          <w:szCs w:val="28"/>
        </w:rPr>
        <w:t>mondo.</w:t>
      </w:r>
      <w:r w:rsidRPr="00E536B7">
        <w:rPr>
          <w:rFonts w:cstheme="minorHAnsi"/>
          <w:sz w:val="28"/>
        </w:rPr>
        <w:t xml:space="preserve"> Per convincersene basterebbe appellarsi al termine sanscrito </w:t>
      </w:r>
      <w:r w:rsidRPr="00E536B7">
        <w:rPr>
          <w:rFonts w:cstheme="minorHAnsi"/>
          <w:i/>
          <w:iCs/>
          <w:sz w:val="28"/>
        </w:rPr>
        <w:t>karma.</w:t>
      </w:r>
      <w:r w:rsidRPr="00E536B7">
        <w:rPr>
          <w:rFonts w:cstheme="minorHAnsi"/>
          <w:sz w:val="28"/>
        </w:rPr>
        <w:t xml:space="preserve"> </w:t>
      </w:r>
      <w:r>
        <w:rPr>
          <w:rFonts w:cstheme="minorHAnsi"/>
          <w:sz w:val="28"/>
        </w:rPr>
        <w:t>Alla lettera</w:t>
      </w:r>
      <w:r w:rsidRPr="00E536B7">
        <w:rPr>
          <w:rFonts w:cstheme="minorHAnsi"/>
          <w:sz w:val="28"/>
        </w:rPr>
        <w:t xml:space="preserve"> significa «azione» e deriva dalla radice indoeuropea </w:t>
      </w:r>
      <w:r w:rsidRPr="00E536B7">
        <w:rPr>
          <w:rFonts w:cstheme="minorHAnsi"/>
          <w:i/>
          <w:iCs/>
          <w:sz w:val="28"/>
        </w:rPr>
        <w:t>kr</w:t>
      </w:r>
      <w:r w:rsidRPr="00E536B7">
        <w:rPr>
          <w:rFonts w:cstheme="minorHAnsi"/>
          <w:sz w:val="28"/>
        </w:rPr>
        <w:t>-, «agire, fare». Nella visione indiana classica ha assunto il senso di «conseguenza ineluttabile dell'azione» che si esplica in una rinascita commisurata alla qualità di atti compiuti nella vita precedente. La forza della legge che presiede al ciclo ininterrotto delle rinascite (</w:t>
      </w:r>
      <w:r w:rsidRPr="00E536B7">
        <w:rPr>
          <w:rFonts w:cstheme="minorHAnsi"/>
          <w:i/>
          <w:iCs/>
          <w:sz w:val="28"/>
        </w:rPr>
        <w:t>samsāra</w:t>
      </w:r>
      <w:r w:rsidRPr="00E536B7">
        <w:rPr>
          <w:rFonts w:cstheme="minorHAnsi"/>
          <w:sz w:val="28"/>
        </w:rPr>
        <w:t>) deriva dalla sua ferrea concatenazione interna, la quale, al pari di tutte le realtà davvero ordinate, non ha bisogno</w:t>
      </w:r>
      <w:r>
        <w:rPr>
          <w:rFonts w:cstheme="minorHAnsi"/>
          <w:sz w:val="28"/>
        </w:rPr>
        <w:t>,</w:t>
      </w:r>
      <w:r w:rsidRPr="00E536B7">
        <w:rPr>
          <w:rFonts w:cstheme="minorHAnsi"/>
          <w:sz w:val="28"/>
        </w:rPr>
        <w:t xml:space="preserve"> per affermarsi</w:t>
      </w:r>
      <w:r>
        <w:rPr>
          <w:rFonts w:cstheme="minorHAnsi"/>
          <w:sz w:val="28"/>
        </w:rPr>
        <w:t>,</w:t>
      </w:r>
      <w:r w:rsidRPr="00E536B7">
        <w:rPr>
          <w:rFonts w:cstheme="minorHAnsi"/>
          <w:sz w:val="28"/>
        </w:rPr>
        <w:t xml:space="preserve"> di alcun intervento estrinseco</w:t>
      </w:r>
      <w:r>
        <w:rPr>
          <w:rFonts w:cstheme="minorHAnsi"/>
          <w:sz w:val="28"/>
        </w:rPr>
        <w:t>. In quest’ambito non c’è un</w:t>
      </w:r>
      <w:r w:rsidRPr="00E536B7">
        <w:rPr>
          <w:rFonts w:cstheme="minorHAnsi"/>
          <w:sz w:val="28"/>
        </w:rPr>
        <w:t xml:space="preserve"> giudice </w:t>
      </w:r>
      <w:r>
        <w:rPr>
          <w:rFonts w:cstheme="minorHAnsi"/>
          <w:sz w:val="28"/>
        </w:rPr>
        <w:t>divino che, sul fronte della ricompensa o su quello della punizione, colleghi le azioni alle loro conseguenze</w:t>
      </w:r>
      <w:r w:rsidRPr="00E536B7">
        <w:rPr>
          <w:rFonts w:cstheme="minorHAnsi"/>
          <w:sz w:val="28"/>
        </w:rPr>
        <w:t xml:space="preserve">. Una norma perfetta si autoregge. Il </w:t>
      </w:r>
      <w:r w:rsidRPr="00E536B7">
        <w:rPr>
          <w:rFonts w:cstheme="minorHAnsi"/>
          <w:i/>
          <w:iCs/>
          <w:sz w:val="28"/>
        </w:rPr>
        <w:t>karma</w:t>
      </w:r>
      <w:r w:rsidRPr="00E536B7">
        <w:rPr>
          <w:rFonts w:cstheme="minorHAnsi"/>
          <w:sz w:val="28"/>
        </w:rPr>
        <w:t xml:space="preserve"> costituisce, quindi, l'inesorabile maturazione di ogni atto volitivo che, compiuto in un'esistenza, predetermina un momento correlato nell'esistenza </w:t>
      </w:r>
      <w:r>
        <w:rPr>
          <w:rFonts w:cstheme="minorHAnsi"/>
          <w:sz w:val="28"/>
        </w:rPr>
        <w:t>successiva</w:t>
      </w:r>
      <w:r w:rsidRPr="00E536B7">
        <w:rPr>
          <w:rFonts w:cstheme="minorHAnsi"/>
          <w:sz w:val="28"/>
        </w:rPr>
        <w:t>. Si legge in un antico testo buddhista: «Ogni essere vivente è erede delle proprie azioni, l'erede dei propri atti. I suoi atti sono la matrice dalla quale ha tratto origine; egli è legato a essi, ed essi sono il suo rifugio. Egli sarà erede di qualsiasi azione compia, buona o cattiva [che sia]».</w:t>
      </w:r>
      <w:r w:rsidRPr="00E536B7">
        <w:rPr>
          <w:rFonts w:cstheme="minorHAnsi"/>
          <w:sz w:val="28"/>
          <w:vertAlign w:val="superscript"/>
        </w:rPr>
        <w:footnoteReference w:id="1"/>
      </w:r>
      <w:r w:rsidRPr="00E536B7">
        <w:rPr>
          <w:rFonts w:cstheme="minorHAnsi"/>
          <w:sz w:val="28"/>
        </w:rPr>
        <w:t xml:space="preserve"> Qui tutto si lega e tutto si tiene. Non vi è frattura tra la successione dei tempi e quella dell'agire.   </w:t>
      </w:r>
    </w:p>
    <w:p w:rsidR="001F0A6B" w:rsidRDefault="001F0A6B" w:rsidP="001F0A6B">
      <w:pPr>
        <w:tabs>
          <w:tab w:val="left" w:pos="567"/>
        </w:tabs>
        <w:spacing w:after="0" w:line="360" w:lineRule="auto"/>
        <w:ind w:firstLine="284"/>
        <w:jc w:val="both"/>
        <w:rPr>
          <w:rFonts w:cstheme="minorHAnsi"/>
          <w:sz w:val="28"/>
        </w:rPr>
      </w:pPr>
      <w:r>
        <w:rPr>
          <w:rFonts w:cstheme="minorHAnsi"/>
          <w:sz w:val="28"/>
        </w:rPr>
        <w:t>Quando il peccato è commesso rispetto ai precetti contenuti in una legge rivelata, il discorso muta radicalmente. L’eteronomia della norma comporta, sia sul versante della ricompensa (</w:t>
      </w:r>
      <w:r w:rsidRPr="00AB0C94">
        <w:rPr>
          <w:rFonts w:eastAsia="Times New Roman" w:cstheme="minorHAnsi"/>
          <w:bCs/>
          <w:i/>
          <w:sz w:val="28"/>
          <w:szCs w:val="28"/>
          <w:highlight w:val="white"/>
        </w:rPr>
        <w:t>gemul</w:t>
      </w:r>
      <w:r>
        <w:rPr>
          <w:rFonts w:eastAsia="Times New Roman" w:cstheme="minorHAnsi"/>
          <w:bCs/>
          <w:iCs/>
          <w:sz w:val="28"/>
          <w:szCs w:val="28"/>
        </w:rPr>
        <w:t>) sia su quello della punizione,</w:t>
      </w:r>
      <w:r>
        <w:rPr>
          <w:rFonts w:cstheme="minorHAnsi"/>
          <w:sz w:val="28"/>
        </w:rPr>
        <w:t xml:space="preserve"> la presenza di un giudizio estrinseco. Il sommo Giudice è, per definizione, giusto. Ecco allora dischiudersi problemi sconosciuti ad altre visioni del mondo. Rispetto alla dimensione terrena la massima questione scaturisce dalla felicità (reale o presunta) dell’empio e dalla sventura che si abbatte sul giusto; riguardo all’aldilà, la domanda attiene alle forme </w:t>
      </w:r>
      <w:r>
        <w:rPr>
          <w:rFonts w:cstheme="minorHAnsi"/>
          <w:sz w:val="28"/>
        </w:rPr>
        <w:lastRenderedPageBreak/>
        <w:t xml:space="preserve">in cui saranno comminati i castighi e concessi i premi. È fuori discussione che la realtà mondana sia empiricamente più costatabile di quella ultraterrena: tutti sono a conoscenza di persone buone collocate nella fornace della sofferenza e di individui malvagi che passano, all’apparenza lieti e spensierati, sulle strade della vita. Nell’appendice al libro primo della sua </w:t>
      </w:r>
      <w:r>
        <w:rPr>
          <w:rFonts w:cstheme="minorHAnsi"/>
          <w:i/>
          <w:iCs/>
          <w:sz w:val="28"/>
        </w:rPr>
        <w:t>Etica</w:t>
      </w:r>
      <w:r>
        <w:rPr>
          <w:rFonts w:cstheme="minorHAnsi"/>
          <w:sz w:val="28"/>
        </w:rPr>
        <w:t xml:space="preserve">, Spinoza dà per scontato il fatto che l’esperienza, ogni giorno, ribadisca e dimostri con infiniti esempi che vantaggi e disgrazie capitino ugualmente e senza distinzione ai pii e agli empi; eppure, in base a certi profondi convincimenti umani, è arduo concludere che il giusto soffra per il semplice fatto di vivere. Si manifesta sempre la tendenza ad affermare che il suo patire o deve dipendere da riposte colpe, oppure deve avere un senso e uno scopo.  Nel Talmud (b. </w:t>
      </w:r>
      <w:r w:rsidRPr="009D3F31">
        <w:rPr>
          <w:rFonts w:cstheme="minorHAnsi"/>
          <w:i/>
          <w:iCs/>
          <w:sz w:val="28"/>
        </w:rPr>
        <w:t>Berakot</w:t>
      </w:r>
      <w:r>
        <w:rPr>
          <w:rFonts w:cstheme="minorHAnsi"/>
          <w:sz w:val="28"/>
        </w:rPr>
        <w:t xml:space="preserve"> 5a-b) si parla di «sofferenze per amore», </w:t>
      </w:r>
      <w:r w:rsidRPr="009D3F31">
        <w:rPr>
          <w:rFonts w:cstheme="minorHAnsi"/>
          <w:sz w:val="28"/>
        </w:rPr>
        <w:t xml:space="preserve">Raši </w:t>
      </w:r>
      <w:r>
        <w:rPr>
          <w:rFonts w:cstheme="minorHAnsi"/>
          <w:sz w:val="28"/>
        </w:rPr>
        <w:t>le assume come esempi di dolore innocente; Ramban contesta simile convinzione: per lui ogni patire deve essere in qualche modo legato a una colpa. In realtà Ra</w:t>
      </w:r>
      <w:r w:rsidRPr="009D3F31">
        <w:rPr>
          <w:rFonts w:cstheme="minorHAnsi"/>
          <w:sz w:val="28"/>
        </w:rPr>
        <w:t>ši</w:t>
      </w:r>
      <w:r>
        <w:rPr>
          <w:rFonts w:cstheme="minorHAnsi"/>
          <w:sz w:val="28"/>
        </w:rPr>
        <w:t xml:space="preserve"> si spinse ancora oltre; a proposito del «canto del </w:t>
      </w:r>
      <w:r w:rsidRPr="006051F4">
        <w:rPr>
          <w:rFonts w:cstheme="minorHAnsi"/>
          <w:sz w:val="28"/>
        </w:rPr>
        <w:t>Serv</w:t>
      </w:r>
      <w:r>
        <w:rPr>
          <w:rFonts w:cstheme="minorHAnsi"/>
          <w:sz w:val="28"/>
        </w:rPr>
        <w:t>o</w:t>
      </w:r>
      <w:r w:rsidRPr="006051F4">
        <w:rPr>
          <w:rFonts w:cstheme="minorHAnsi"/>
          <w:sz w:val="28"/>
        </w:rPr>
        <w:t>» di Isaia 53</w:t>
      </w:r>
      <w:r>
        <w:rPr>
          <w:rFonts w:cstheme="minorHAnsi"/>
          <w:sz w:val="28"/>
        </w:rPr>
        <w:t xml:space="preserve"> parlò, infatti, di espiazione vicaria. «Il Signore ha fatto ricadere su di lui l’iniquità di noi tutti» (Is 53,6), versetto chiosato dal grande commentatore in questi termini: «grazie a lui è stata esaudita la preghiera e si è attuata la riconciliazione per l’iniquità di noi tutti».</w:t>
      </w:r>
      <w:r>
        <w:rPr>
          <w:rStyle w:val="Rimandonotaapidipagina"/>
          <w:rFonts w:cstheme="minorHAnsi"/>
          <w:sz w:val="28"/>
        </w:rPr>
        <w:footnoteReference w:id="2"/>
      </w:r>
      <w:r>
        <w:rPr>
          <w:rFonts w:cstheme="minorHAnsi"/>
          <w:sz w:val="28"/>
        </w:rPr>
        <w:t xml:space="preserve"> Il ventaglio delle interpretazioni legato alla sofferenza dei giusti si allarga. Rimane saldo il fatto che, sia o non sia innocente, il dolore, in queste letture, ha comunque uno scopo. Ci sono però situazioni in cui l’assioma finalistico sembra prossimo a vacillare.</w:t>
      </w:r>
    </w:p>
    <w:p w:rsidR="001F0A6B" w:rsidRDefault="001F0A6B" w:rsidP="001F0A6B">
      <w:pPr>
        <w:tabs>
          <w:tab w:val="left" w:pos="567"/>
        </w:tabs>
        <w:spacing w:after="0" w:line="360" w:lineRule="auto"/>
        <w:ind w:firstLine="284"/>
        <w:jc w:val="both"/>
        <w:rPr>
          <w:rFonts w:cstheme="minorHAnsi"/>
          <w:sz w:val="28"/>
        </w:rPr>
      </w:pPr>
      <w:r>
        <w:rPr>
          <w:rFonts w:cstheme="minorHAnsi"/>
          <w:sz w:val="28"/>
        </w:rPr>
        <w:t xml:space="preserve">Una sezione particolarmente ampia di </w:t>
      </w:r>
      <w:r w:rsidRPr="000C53AB">
        <w:rPr>
          <w:rFonts w:eastAsia="Times New Roman" w:cstheme="minorHAnsi"/>
          <w:bCs/>
          <w:i/>
          <w:sz w:val="28"/>
          <w:szCs w:val="28"/>
          <w:highlight w:val="white"/>
        </w:rPr>
        <w:t>Ša’ar</w:t>
      </w:r>
      <w:r w:rsidRPr="00AB0C94">
        <w:rPr>
          <w:rFonts w:eastAsia="Times New Roman" w:cstheme="minorHAnsi"/>
          <w:bCs/>
          <w:i/>
          <w:sz w:val="28"/>
          <w:szCs w:val="28"/>
          <w:highlight w:val="white"/>
        </w:rPr>
        <w:t xml:space="preserve"> ha gemul</w:t>
      </w:r>
      <w:r>
        <w:rPr>
          <w:rFonts w:cstheme="minorHAnsi"/>
          <w:sz w:val="28"/>
        </w:rPr>
        <w:t xml:space="preserve"> è dedicata, non a caso, a Giobbe, la figura biblica che, più di ogni altra, ha assunto sulle sue spalle la sfida ermeneutica lanciata dal dolore e dall’abbandono patito da chi si professa giusto. A proposito di questo tema inquietante, la tradizione cabalistica, per spiegare l’apparente anomalia insita nel giudizio di Dio, fa</w:t>
      </w:r>
      <w:r w:rsidRPr="00200213">
        <w:rPr>
          <w:rFonts w:cstheme="minorHAnsi"/>
          <w:sz w:val="28"/>
        </w:rPr>
        <w:t xml:space="preserve"> </w:t>
      </w:r>
      <w:r>
        <w:rPr>
          <w:rFonts w:cstheme="minorHAnsi"/>
          <w:sz w:val="28"/>
        </w:rPr>
        <w:t xml:space="preserve">ricorso, non di rado, alla teoria del </w:t>
      </w:r>
      <w:r w:rsidRPr="002954A6">
        <w:rPr>
          <w:rFonts w:cstheme="minorHAnsi"/>
          <w:i/>
          <w:iCs/>
          <w:sz w:val="28"/>
        </w:rPr>
        <w:lastRenderedPageBreak/>
        <w:t>gilgul</w:t>
      </w:r>
      <w:r>
        <w:rPr>
          <w:rFonts w:cstheme="minorHAnsi"/>
          <w:sz w:val="28"/>
        </w:rPr>
        <w:t xml:space="preserve">, il termine ebraico per indicare la metempsicosi.  Ancora nella seconda metà del XIX secolo, Elia Benamozegh riteneva il </w:t>
      </w:r>
      <w:r w:rsidRPr="00F54261">
        <w:rPr>
          <w:rFonts w:cstheme="minorHAnsi"/>
          <w:i/>
          <w:iCs/>
          <w:sz w:val="28"/>
        </w:rPr>
        <w:t>gilgul</w:t>
      </w:r>
      <w:r>
        <w:rPr>
          <w:rFonts w:cstheme="minorHAnsi"/>
          <w:sz w:val="28"/>
        </w:rPr>
        <w:t xml:space="preserve"> «il mezzo sommo, quasi unico, per spiegare le ingiustizie apparenti che si vedono sulla terra».</w:t>
      </w:r>
      <w:r>
        <w:rPr>
          <w:rStyle w:val="Rimandonotaapidipagina"/>
          <w:rFonts w:cstheme="minorHAnsi"/>
          <w:sz w:val="28"/>
        </w:rPr>
        <w:footnoteReference w:id="3"/>
      </w:r>
      <w:r>
        <w:rPr>
          <w:rFonts w:cstheme="minorHAnsi"/>
          <w:sz w:val="28"/>
        </w:rPr>
        <w:t xml:space="preserve"> La trasmigrazione delle anime si prospetta, dunque, come una specie di ponte posto tra la legge perfetta che regge il tutto senza bisogno di alcun giudizio divino e quella che, al contrario, ritiene convinzione fondamentale l’esistenza del sommo Giudice. Grazie al </w:t>
      </w:r>
      <w:r>
        <w:rPr>
          <w:rFonts w:cstheme="minorHAnsi"/>
          <w:i/>
          <w:iCs/>
          <w:sz w:val="28"/>
        </w:rPr>
        <w:t>gilgul</w:t>
      </w:r>
      <w:r>
        <w:rPr>
          <w:rFonts w:cstheme="minorHAnsi"/>
          <w:sz w:val="28"/>
        </w:rPr>
        <w:t xml:space="preserve"> le anomalie, ossia le ingiustizie, divengono soltanto apparenti. </w:t>
      </w:r>
    </w:p>
    <w:p w:rsidR="001F0A6B" w:rsidRDefault="001F0A6B" w:rsidP="001F0A6B">
      <w:pPr>
        <w:tabs>
          <w:tab w:val="left" w:pos="567"/>
        </w:tabs>
        <w:spacing w:after="0" w:line="360" w:lineRule="auto"/>
        <w:ind w:firstLine="284"/>
        <w:jc w:val="both"/>
        <w:rPr>
          <w:rFonts w:eastAsia="Times New Roman" w:cstheme="minorHAnsi"/>
          <w:sz w:val="28"/>
          <w:szCs w:val="28"/>
        </w:rPr>
      </w:pPr>
      <w:r>
        <w:rPr>
          <w:rFonts w:cstheme="minorHAnsi"/>
          <w:sz w:val="28"/>
        </w:rPr>
        <w:t xml:space="preserve">Naḥmanide è tutt’altro che estraneo a questo modo di ragionare. In lui però il discorso è più complesso. Ramban, infatti, fa ricorso all’espressione, di difficile interpretazione, </w:t>
      </w:r>
      <w:r w:rsidRPr="00F14790">
        <w:rPr>
          <w:rFonts w:eastAsia="Times New Roman" w:cstheme="minorHAnsi"/>
          <w:i/>
          <w:sz w:val="28"/>
          <w:szCs w:val="28"/>
          <w:highlight w:val="white"/>
        </w:rPr>
        <w:t>sod ha ‘ibbur</w:t>
      </w:r>
      <w:r w:rsidRPr="00F14790">
        <w:rPr>
          <w:rFonts w:eastAsia="Times New Roman" w:cstheme="minorHAnsi"/>
          <w:sz w:val="28"/>
          <w:szCs w:val="28"/>
          <w:highlight w:val="white"/>
        </w:rPr>
        <w:t>,</w:t>
      </w:r>
      <w:r w:rsidRPr="00F14790">
        <w:rPr>
          <w:rFonts w:eastAsia="Times New Roman" w:cstheme="minorHAnsi"/>
          <w:i/>
          <w:sz w:val="28"/>
          <w:szCs w:val="28"/>
          <w:highlight w:val="white"/>
        </w:rPr>
        <w:t xml:space="preserve"> </w:t>
      </w:r>
      <w:r w:rsidRPr="00F14790">
        <w:rPr>
          <w:rFonts w:eastAsia="Times New Roman" w:cstheme="minorHAnsi"/>
          <w:sz w:val="28"/>
          <w:szCs w:val="28"/>
          <w:highlight w:val="white"/>
        </w:rPr>
        <w:t>o «segreto del concepimento»</w:t>
      </w:r>
      <w:r>
        <w:rPr>
          <w:rFonts w:eastAsia="Times New Roman" w:cstheme="minorHAnsi"/>
          <w:sz w:val="28"/>
          <w:szCs w:val="28"/>
        </w:rPr>
        <w:t>.</w:t>
      </w:r>
      <w:r w:rsidRPr="00F14790">
        <w:rPr>
          <w:rFonts w:cstheme="minorHAnsi"/>
          <w:sz w:val="28"/>
        </w:rPr>
        <w:t xml:space="preserve"> </w:t>
      </w:r>
      <w:r>
        <w:rPr>
          <w:rFonts w:eastAsia="Times New Roman" w:cstheme="minorHAnsi"/>
          <w:sz w:val="28"/>
          <w:szCs w:val="28"/>
        </w:rPr>
        <w:t>Si tratta di un’idea esaminata con perizia da Mayer. In quest’ambito si sarebbe di fronte a una prospettiva legata all’esistenza di un polipsichismo, in un individuo, cioè, ci sarebbe la presenza di più anime. Nello specifico, l</w:t>
      </w:r>
      <w:r w:rsidRPr="00F14790">
        <w:rPr>
          <w:rFonts w:eastAsia="Times New Roman" w:cstheme="minorHAnsi"/>
          <w:sz w:val="28"/>
          <w:szCs w:val="28"/>
          <w:highlight w:val="white"/>
        </w:rPr>
        <w:t>’</w:t>
      </w:r>
      <w:r w:rsidRPr="00F14790">
        <w:rPr>
          <w:rFonts w:eastAsia="Times New Roman" w:cstheme="minorHAnsi"/>
          <w:i/>
          <w:sz w:val="28"/>
          <w:szCs w:val="28"/>
          <w:highlight w:val="white"/>
        </w:rPr>
        <w:t>‘ibbur</w:t>
      </w:r>
      <w:r w:rsidRPr="00F14790">
        <w:rPr>
          <w:rFonts w:eastAsia="Times New Roman" w:cstheme="minorHAnsi"/>
          <w:sz w:val="28"/>
          <w:szCs w:val="28"/>
          <w:highlight w:val="white"/>
        </w:rPr>
        <w:t xml:space="preserve"> </w:t>
      </w:r>
      <w:r>
        <w:rPr>
          <w:rFonts w:eastAsia="Times New Roman" w:cstheme="minorHAnsi"/>
          <w:sz w:val="28"/>
          <w:szCs w:val="28"/>
          <w:highlight w:val="white"/>
        </w:rPr>
        <w:t xml:space="preserve">costituirebbe </w:t>
      </w:r>
      <w:r w:rsidRPr="00F14790">
        <w:rPr>
          <w:rFonts w:eastAsia="Times New Roman" w:cstheme="minorHAnsi"/>
          <w:sz w:val="28"/>
          <w:szCs w:val="28"/>
          <w:highlight w:val="white"/>
        </w:rPr>
        <w:t>l’ingresso di un’</w:t>
      </w:r>
      <w:r>
        <w:rPr>
          <w:rFonts w:eastAsia="Times New Roman" w:cstheme="minorHAnsi"/>
          <w:sz w:val="28"/>
          <w:szCs w:val="28"/>
          <w:highlight w:val="white"/>
        </w:rPr>
        <w:t xml:space="preserve">altra </w:t>
      </w:r>
      <w:r w:rsidRPr="00F14790">
        <w:rPr>
          <w:rFonts w:eastAsia="Times New Roman" w:cstheme="minorHAnsi"/>
          <w:sz w:val="28"/>
          <w:szCs w:val="28"/>
          <w:highlight w:val="white"/>
        </w:rPr>
        <w:t xml:space="preserve">anima in un corpo già animato, mentre il </w:t>
      </w:r>
      <w:r w:rsidRPr="00F14790">
        <w:rPr>
          <w:rFonts w:eastAsia="Times New Roman" w:cstheme="minorHAnsi"/>
          <w:i/>
          <w:sz w:val="28"/>
          <w:szCs w:val="28"/>
          <w:highlight w:val="white"/>
        </w:rPr>
        <w:t>gilgul</w:t>
      </w:r>
      <w:r w:rsidRPr="00F14790">
        <w:rPr>
          <w:rFonts w:eastAsia="Times New Roman" w:cstheme="minorHAnsi"/>
          <w:sz w:val="28"/>
          <w:szCs w:val="28"/>
          <w:highlight w:val="white"/>
        </w:rPr>
        <w:t xml:space="preserve"> </w:t>
      </w:r>
      <w:r>
        <w:rPr>
          <w:rFonts w:eastAsia="Times New Roman" w:cstheme="minorHAnsi"/>
          <w:sz w:val="28"/>
          <w:szCs w:val="28"/>
          <w:highlight w:val="white"/>
        </w:rPr>
        <w:t>rappresenta</w:t>
      </w:r>
      <w:r w:rsidRPr="00F14790">
        <w:rPr>
          <w:rFonts w:eastAsia="Times New Roman" w:cstheme="minorHAnsi"/>
          <w:sz w:val="28"/>
          <w:szCs w:val="28"/>
          <w:highlight w:val="white"/>
        </w:rPr>
        <w:t xml:space="preserve"> l’</w:t>
      </w:r>
      <w:r>
        <w:rPr>
          <w:rFonts w:eastAsia="Times New Roman" w:cstheme="minorHAnsi"/>
          <w:sz w:val="28"/>
          <w:szCs w:val="28"/>
          <w:highlight w:val="white"/>
        </w:rPr>
        <w:t>entrata</w:t>
      </w:r>
      <w:r w:rsidRPr="00F14790">
        <w:rPr>
          <w:rFonts w:eastAsia="Times New Roman" w:cstheme="minorHAnsi"/>
          <w:sz w:val="28"/>
          <w:szCs w:val="28"/>
          <w:highlight w:val="white"/>
        </w:rPr>
        <w:t xml:space="preserve"> di un’anima in un corpo che ne è ancora sprovvisto. </w:t>
      </w:r>
      <w:r>
        <w:rPr>
          <w:rFonts w:eastAsia="Times New Roman" w:cstheme="minorHAnsi"/>
          <w:sz w:val="28"/>
          <w:szCs w:val="28"/>
        </w:rPr>
        <w:t>La prospettiva è chiamata in causa per spiegare il dolore di Giobbe, specie in riferimento al discorso, mai apertamente disapprovato, proposto dal quarto, misterioso interlocutore, Elihu. Quanto l’idea sia applicabile alle sue parole è terreno ancora largamente da dissodare. Forse il suo dire va interpretato come un’allusione alla metempsicosi intesa nel senso più comune del termine: Giobbe allora soffrirebbe per colpe commesse in vite precedenti. Forse il discorso è ancor più segreto e va interpretato all’insegna di un polipsichismo collegato, a sua volta, a visioni cabalistiche di misteri intradivini. In ogni caso, la sofferenza del giusto si spiega con il fatto che in lui, per motivi estranei al suo attuale comportamento, c’è la presenza di qualche colpa.  Resta fuori discussione che “caso e necessità” non sono riferimenti chiamati in causa per spiegare un patire dotato di uno scopo specifico in quanto deciso da un giudizio divino.</w:t>
      </w:r>
    </w:p>
    <w:p w:rsidR="001F0A6B" w:rsidRDefault="001F0A6B" w:rsidP="001F0A6B">
      <w:pPr>
        <w:tabs>
          <w:tab w:val="left" w:pos="567"/>
        </w:tabs>
        <w:spacing w:after="0" w:line="360" w:lineRule="auto"/>
        <w:ind w:firstLine="284"/>
        <w:jc w:val="both"/>
        <w:rPr>
          <w:rFonts w:eastAsia="Times New Roman" w:cstheme="minorHAnsi"/>
          <w:bCs/>
          <w:iCs/>
          <w:sz w:val="28"/>
          <w:szCs w:val="28"/>
        </w:rPr>
      </w:pPr>
      <w:r>
        <w:rPr>
          <w:rFonts w:eastAsia="Times New Roman" w:cstheme="minorHAnsi"/>
          <w:bCs/>
          <w:iCs/>
          <w:sz w:val="28"/>
          <w:szCs w:val="28"/>
          <w:highlight w:val="white"/>
        </w:rPr>
        <w:lastRenderedPageBreak/>
        <w:t xml:space="preserve">Nello </w:t>
      </w:r>
      <w:r w:rsidRPr="000C53AB">
        <w:rPr>
          <w:rFonts w:eastAsia="Times New Roman" w:cstheme="minorHAnsi"/>
          <w:bCs/>
          <w:i/>
          <w:sz w:val="28"/>
          <w:szCs w:val="28"/>
          <w:highlight w:val="white"/>
        </w:rPr>
        <w:t>Ša’ar</w:t>
      </w:r>
      <w:r w:rsidRPr="00AB0C94">
        <w:rPr>
          <w:rFonts w:eastAsia="Times New Roman" w:cstheme="minorHAnsi"/>
          <w:bCs/>
          <w:i/>
          <w:sz w:val="28"/>
          <w:szCs w:val="28"/>
          <w:highlight w:val="white"/>
        </w:rPr>
        <w:t xml:space="preserve"> ha gemul</w:t>
      </w:r>
      <w:r>
        <w:rPr>
          <w:rFonts w:eastAsia="Times New Roman" w:cstheme="minorHAnsi"/>
          <w:bCs/>
          <w:i/>
          <w:sz w:val="28"/>
          <w:szCs w:val="28"/>
        </w:rPr>
        <w:t xml:space="preserve"> </w:t>
      </w:r>
      <w:r>
        <w:rPr>
          <w:rFonts w:eastAsia="Times New Roman" w:cstheme="minorHAnsi"/>
          <w:bCs/>
          <w:iCs/>
          <w:sz w:val="28"/>
          <w:szCs w:val="28"/>
        </w:rPr>
        <w:t xml:space="preserve">l’orizzonte non è ristretto alla vita terrena; anzi, la sua preoccupazione principale sta nel parlare di quanto sta oltre la Porta. L’immortalità dell’anima è una dimensione che si colloca o nell’ambito della creazione o, come per i filosofi greci, in quello della natura. In definitiva, è questione antropologica. Di contro, l’esistenza di un giudizio e la conseguente presenza di ricompense e castighi si fondano sulla parola rivelata. Per Naḥmanide la rivelazione è costituita sia dalla Torah scritta (i primi cinque libri della Bibbia) sia da quella orale e pubblica (che trova la sua massima espressione nel Talmud) sia dalle tradizioni esoteriche confluite nella </w:t>
      </w:r>
      <w:r w:rsidRPr="00975D99">
        <w:rPr>
          <w:rFonts w:eastAsia="Times New Roman" w:cstheme="minorHAnsi"/>
          <w:bCs/>
          <w:i/>
          <w:sz w:val="28"/>
          <w:szCs w:val="28"/>
        </w:rPr>
        <w:t>qabbalah</w:t>
      </w:r>
      <w:r>
        <w:rPr>
          <w:rFonts w:eastAsia="Times New Roman" w:cstheme="minorHAnsi"/>
          <w:bCs/>
          <w:iCs/>
          <w:sz w:val="28"/>
          <w:szCs w:val="28"/>
        </w:rPr>
        <w:t>. Per parlare del «paese non ancora scoperto dal cui confine nessun viaggiatore ritorna» non è dato affidarsi a un approccio empirico. La mappa spazio-temporale dei luoghi dell’aldilà è a tal punto imparagonabile a tutte le altre da essere, in realtà, posta fuori dallo spazio e dal tempo. La sua descrizione si presenta, perciò, come un commento e un’interpretazione di altre parole, testi e opinioni. L’autorità su cui ci si basa è, in primis, quella dei «nostri Maestri» qualificati con la sigla z.l.; due lettere volte a auspicare che la loro memoria (</w:t>
      </w:r>
      <w:r>
        <w:rPr>
          <w:rFonts w:eastAsia="Times New Roman" w:cstheme="minorHAnsi"/>
          <w:bCs/>
          <w:i/>
          <w:sz w:val="28"/>
          <w:szCs w:val="28"/>
        </w:rPr>
        <w:t>zaker</w:t>
      </w:r>
      <w:r>
        <w:rPr>
          <w:rFonts w:eastAsia="Times New Roman" w:cstheme="minorHAnsi"/>
          <w:bCs/>
          <w:iCs/>
          <w:sz w:val="28"/>
          <w:szCs w:val="28"/>
        </w:rPr>
        <w:t>) sia in benedizione (</w:t>
      </w:r>
      <w:r w:rsidRPr="0092361D">
        <w:rPr>
          <w:rFonts w:eastAsia="Times New Roman" w:cstheme="minorHAnsi"/>
          <w:bCs/>
          <w:i/>
          <w:sz w:val="28"/>
          <w:szCs w:val="28"/>
        </w:rPr>
        <w:t>berakah</w:t>
      </w:r>
      <w:r>
        <w:rPr>
          <w:rFonts w:eastAsia="Times New Roman" w:cstheme="minorHAnsi"/>
          <w:bCs/>
          <w:iCs/>
          <w:sz w:val="28"/>
          <w:szCs w:val="28"/>
        </w:rPr>
        <w:t>). La formula costituisce una modalità, piena di gratitudine, grazie alla quale i vivi ricordano i defunti. È innegabile che ci sia una sfumatura paradossale nel fatto che le guide scelte per orientarsi nel mondo che non avrà fine siano persone soggette alla ineluttabile regola: «una generazione se ne va, una generazione giunge». Analoghe considerazioni valgono per il serrato e dialettico confronto di opinioni riferito a una realtà trascendente mai sperimentata da alcun vivente. Sono confronti che qualcuno potrebbe far rientrare nel vasto panorama delle “scienze senza oggetto”.</w:t>
      </w:r>
    </w:p>
    <w:p w:rsidR="001F0A6B" w:rsidRDefault="001F0A6B" w:rsidP="001F0A6B">
      <w:pPr>
        <w:tabs>
          <w:tab w:val="left" w:pos="567"/>
        </w:tabs>
        <w:spacing w:after="0" w:line="360" w:lineRule="auto"/>
        <w:ind w:firstLine="284"/>
        <w:jc w:val="both"/>
        <w:rPr>
          <w:rFonts w:eastAsia="Times New Roman" w:cstheme="minorHAnsi"/>
          <w:bCs/>
          <w:iCs/>
          <w:sz w:val="28"/>
          <w:szCs w:val="28"/>
        </w:rPr>
      </w:pPr>
      <w:r>
        <w:rPr>
          <w:rFonts w:eastAsia="Times New Roman" w:cstheme="minorHAnsi"/>
          <w:bCs/>
          <w:iCs/>
          <w:sz w:val="28"/>
          <w:szCs w:val="28"/>
        </w:rPr>
        <w:t xml:space="preserve">Le considerazioni di Ramban rispetto al mondo ultraterreno raggiungono la massima temperatura in relazione a due problemi: il primo riguarda il rapporto tra giudizio individuale, collocato subito dopo la morte, e quello generale posto alla fine dei tempi; il secondo, che, per certi aspetti, può essere considerato una declinazione del primo, concerne la verità di fede relativa alla resurrezione dei morti. Naḥmanide chiarisce la specificità del giudizio a cui è sottoposta l’anima del defunto, tema fino ad </w:t>
      </w:r>
      <w:r>
        <w:rPr>
          <w:rFonts w:eastAsia="Times New Roman" w:cstheme="minorHAnsi"/>
          <w:bCs/>
          <w:iCs/>
          <w:sz w:val="28"/>
          <w:szCs w:val="28"/>
        </w:rPr>
        <w:lastRenderedPageBreak/>
        <w:t xml:space="preserve">allora avvolto, nell’ebraismo, da una certa vaghezza. Le anime sono assegnate a “luoghi” di punizione (almeno temporanea) o di beautitudine (rispettivamente Gehinnom e Gan </w:t>
      </w:r>
      <w:r w:rsidRPr="00DB474F">
        <w:rPr>
          <w:rFonts w:eastAsia="Times New Roman" w:cstheme="minorHAnsi"/>
          <w:bCs/>
          <w:iCs/>
          <w:sz w:val="28"/>
          <w:szCs w:val="28"/>
        </w:rPr>
        <w:t>‘Eden</w:t>
      </w:r>
      <w:r>
        <w:rPr>
          <w:rFonts w:eastAsia="Times New Roman" w:cstheme="minorHAnsi"/>
          <w:bCs/>
          <w:iCs/>
          <w:sz w:val="28"/>
          <w:szCs w:val="28"/>
        </w:rPr>
        <w:t xml:space="preserve">). Il presupposto è che il giudizio riguardi un’anima individuale.  All’interno di un orizzonte che conosce il </w:t>
      </w:r>
      <w:r w:rsidRPr="00D54399">
        <w:rPr>
          <w:rFonts w:eastAsia="Times New Roman" w:cstheme="minorHAnsi"/>
          <w:bCs/>
          <w:i/>
          <w:sz w:val="28"/>
          <w:szCs w:val="28"/>
        </w:rPr>
        <w:t>gilgul</w:t>
      </w:r>
      <w:r>
        <w:rPr>
          <w:rFonts w:eastAsia="Times New Roman" w:cstheme="minorHAnsi"/>
          <w:bCs/>
          <w:iCs/>
          <w:sz w:val="28"/>
          <w:szCs w:val="28"/>
        </w:rPr>
        <w:t xml:space="preserve"> e l’‘</w:t>
      </w:r>
      <w:r>
        <w:rPr>
          <w:rFonts w:eastAsia="Times New Roman" w:cstheme="minorHAnsi"/>
          <w:bCs/>
          <w:i/>
          <w:sz w:val="28"/>
          <w:szCs w:val="28"/>
        </w:rPr>
        <w:t>ibbur</w:t>
      </w:r>
      <w:r>
        <w:rPr>
          <w:rFonts w:eastAsia="Times New Roman" w:cstheme="minorHAnsi"/>
          <w:bCs/>
          <w:iCs/>
          <w:sz w:val="28"/>
          <w:szCs w:val="28"/>
        </w:rPr>
        <w:t>, non è semplice comprendere come una singola persona possa essere giudicata per quanto da lei compiuto nella vita terrena; è quindi problematico capire come sia consegnata o al Gehinnom o al Gan ‘</w:t>
      </w:r>
      <w:r w:rsidRPr="00DB474F">
        <w:rPr>
          <w:rFonts w:eastAsia="Times New Roman" w:cstheme="minorHAnsi"/>
          <w:bCs/>
          <w:iCs/>
          <w:sz w:val="28"/>
          <w:szCs w:val="28"/>
        </w:rPr>
        <w:t>Eden</w:t>
      </w:r>
      <w:r>
        <w:rPr>
          <w:rFonts w:eastAsia="Times New Roman" w:cstheme="minorHAnsi"/>
          <w:bCs/>
          <w:iCs/>
          <w:sz w:val="28"/>
          <w:szCs w:val="28"/>
        </w:rPr>
        <w:t xml:space="preserve">. In realtà, si tratta di un problema tanto serio da indurre a supporre che l’andamento sia in sostanza il contrario; non è infatti peregrino supporre che sia stata la fede nel giudizio divino a indurre ad affermare l’esistenza di un’anima individuale. </w:t>
      </w:r>
    </w:p>
    <w:p w:rsidR="001F0A6B" w:rsidRDefault="001F0A6B" w:rsidP="001F0A6B">
      <w:pPr>
        <w:pStyle w:val="default-style"/>
        <w:spacing w:before="0" w:beforeAutospacing="0" w:after="0" w:afterAutospacing="0" w:line="360" w:lineRule="auto"/>
        <w:ind w:firstLine="284"/>
        <w:jc w:val="both"/>
        <w:rPr>
          <w:rFonts w:asciiTheme="minorHAnsi" w:hAnsiTheme="minorHAnsi" w:cstheme="minorHAnsi"/>
          <w:bCs/>
          <w:iCs/>
          <w:sz w:val="28"/>
          <w:szCs w:val="28"/>
        </w:rPr>
      </w:pPr>
      <w:r>
        <w:rPr>
          <w:rFonts w:asciiTheme="minorHAnsi" w:hAnsiTheme="minorHAnsi" w:cstheme="minorHAnsi"/>
          <w:bCs/>
          <w:iCs/>
          <w:sz w:val="28"/>
          <w:szCs w:val="28"/>
        </w:rPr>
        <w:t xml:space="preserve">L’esito ultimo è costituito dall’avvento </w:t>
      </w:r>
      <w:r w:rsidRPr="00F51953">
        <w:rPr>
          <w:rFonts w:asciiTheme="minorHAnsi" w:hAnsiTheme="minorHAnsi" w:cstheme="minorHAnsi"/>
          <w:bCs/>
          <w:iCs/>
          <w:sz w:val="28"/>
          <w:szCs w:val="28"/>
        </w:rPr>
        <w:t>dell’‘</w:t>
      </w:r>
      <w:r w:rsidRPr="00F51953">
        <w:rPr>
          <w:rFonts w:asciiTheme="minorHAnsi" w:hAnsiTheme="minorHAnsi" w:cstheme="minorHAnsi"/>
          <w:bCs/>
          <w:i/>
          <w:sz w:val="28"/>
          <w:szCs w:val="28"/>
        </w:rPr>
        <w:t>Olam ha ba’</w:t>
      </w:r>
      <w:r w:rsidRPr="00F51953">
        <w:rPr>
          <w:rFonts w:asciiTheme="minorHAnsi" w:hAnsiTheme="minorHAnsi" w:cstheme="minorHAnsi"/>
          <w:bCs/>
          <w:iCs/>
          <w:sz w:val="28"/>
          <w:szCs w:val="28"/>
        </w:rPr>
        <w:t xml:space="preserve">, il mondo avvenire. </w:t>
      </w:r>
      <w:r>
        <w:rPr>
          <w:rFonts w:asciiTheme="minorHAnsi" w:hAnsiTheme="minorHAnsi" w:cstheme="minorHAnsi"/>
          <w:bCs/>
          <w:iCs/>
          <w:sz w:val="28"/>
          <w:szCs w:val="28"/>
        </w:rPr>
        <w:t xml:space="preserve">L’espressione indica </w:t>
      </w:r>
      <w:r w:rsidRPr="00F51953">
        <w:rPr>
          <w:rFonts w:asciiTheme="minorHAnsi" w:hAnsiTheme="minorHAnsi" w:cstheme="minorHAnsi"/>
          <w:bCs/>
          <w:iCs/>
          <w:sz w:val="28"/>
          <w:szCs w:val="28"/>
        </w:rPr>
        <w:t>un venire a noi di qu</w:t>
      </w:r>
      <w:r>
        <w:rPr>
          <w:rFonts w:asciiTheme="minorHAnsi" w:hAnsiTheme="minorHAnsi" w:cstheme="minorHAnsi"/>
          <w:bCs/>
          <w:iCs/>
          <w:sz w:val="28"/>
          <w:szCs w:val="28"/>
        </w:rPr>
        <w:t>anto</w:t>
      </w:r>
      <w:r w:rsidRPr="00F51953">
        <w:rPr>
          <w:rFonts w:asciiTheme="minorHAnsi" w:hAnsiTheme="minorHAnsi" w:cstheme="minorHAnsi"/>
          <w:bCs/>
          <w:iCs/>
          <w:sz w:val="28"/>
          <w:szCs w:val="28"/>
        </w:rPr>
        <w:t xml:space="preserve"> è altrove.</w:t>
      </w:r>
      <w:r>
        <w:rPr>
          <w:rFonts w:asciiTheme="minorHAnsi" w:hAnsiTheme="minorHAnsi" w:cstheme="minorHAnsi"/>
          <w:bCs/>
          <w:iCs/>
          <w:sz w:val="28"/>
          <w:szCs w:val="28"/>
        </w:rPr>
        <w:t xml:space="preserve"> Non si tratta di una evoluzione e tanto meno di uno sviluppo di quel che, in germe, c’è già ora.  La storia umana sarà conclusa attraverso un incontro con una realtà totalmente inedita.</w:t>
      </w:r>
      <w:r w:rsidRPr="00F51953">
        <w:rPr>
          <w:rFonts w:asciiTheme="minorHAnsi" w:hAnsiTheme="minorHAnsi" w:cstheme="minorHAnsi"/>
          <w:bCs/>
          <w:iCs/>
          <w:sz w:val="28"/>
          <w:szCs w:val="28"/>
        </w:rPr>
        <w:t xml:space="preserve"> In questa luce risulta palese la </w:t>
      </w:r>
      <w:r>
        <w:rPr>
          <w:rFonts w:asciiTheme="minorHAnsi" w:hAnsiTheme="minorHAnsi" w:cstheme="minorHAnsi"/>
          <w:bCs/>
          <w:iCs/>
          <w:sz w:val="28"/>
          <w:szCs w:val="28"/>
        </w:rPr>
        <w:t>difficoltà di circoscrivere la portata di</w:t>
      </w:r>
      <w:r w:rsidRPr="00F51953">
        <w:rPr>
          <w:rFonts w:asciiTheme="minorHAnsi" w:hAnsiTheme="minorHAnsi" w:cstheme="minorHAnsi"/>
          <w:bCs/>
          <w:iCs/>
          <w:sz w:val="28"/>
          <w:szCs w:val="28"/>
        </w:rPr>
        <w:t xml:space="preserve"> un atto</w:t>
      </w:r>
      <w:r>
        <w:rPr>
          <w:rFonts w:asciiTheme="minorHAnsi" w:hAnsiTheme="minorHAnsi" w:cstheme="minorHAnsi"/>
          <w:bCs/>
          <w:iCs/>
          <w:sz w:val="28"/>
          <w:szCs w:val="28"/>
        </w:rPr>
        <w:t>,</w:t>
      </w:r>
      <w:r w:rsidRPr="00F51953">
        <w:rPr>
          <w:rFonts w:asciiTheme="minorHAnsi" w:hAnsiTheme="minorHAnsi" w:cstheme="minorHAnsi"/>
          <w:bCs/>
          <w:iCs/>
          <w:sz w:val="28"/>
          <w:szCs w:val="28"/>
        </w:rPr>
        <w:t xml:space="preserve"> la resurrezione dei morti</w:t>
      </w:r>
      <w:r>
        <w:rPr>
          <w:rFonts w:asciiTheme="minorHAnsi" w:hAnsiTheme="minorHAnsi" w:cstheme="minorHAnsi"/>
          <w:bCs/>
          <w:iCs/>
          <w:sz w:val="28"/>
          <w:szCs w:val="28"/>
        </w:rPr>
        <w:t>,</w:t>
      </w:r>
      <w:r w:rsidRPr="00F51953">
        <w:rPr>
          <w:rFonts w:asciiTheme="minorHAnsi" w:hAnsiTheme="minorHAnsi" w:cstheme="minorHAnsi"/>
          <w:bCs/>
          <w:iCs/>
          <w:sz w:val="28"/>
          <w:szCs w:val="28"/>
        </w:rPr>
        <w:t xml:space="preserve"> che deve</w:t>
      </w:r>
      <w:r>
        <w:rPr>
          <w:rFonts w:asciiTheme="minorHAnsi" w:hAnsiTheme="minorHAnsi" w:cstheme="minorHAnsi"/>
          <w:bCs/>
          <w:iCs/>
          <w:sz w:val="28"/>
          <w:szCs w:val="28"/>
        </w:rPr>
        <w:t>,</w:t>
      </w:r>
      <w:r w:rsidRPr="00F51953">
        <w:rPr>
          <w:rFonts w:asciiTheme="minorHAnsi" w:hAnsiTheme="minorHAnsi" w:cstheme="minorHAnsi"/>
          <w:bCs/>
          <w:iCs/>
          <w:sz w:val="28"/>
          <w:szCs w:val="28"/>
        </w:rPr>
        <w:t xml:space="preserve"> intrinsecamente</w:t>
      </w:r>
      <w:r>
        <w:rPr>
          <w:rFonts w:asciiTheme="minorHAnsi" w:hAnsiTheme="minorHAnsi" w:cstheme="minorHAnsi"/>
          <w:bCs/>
          <w:iCs/>
          <w:sz w:val="28"/>
          <w:szCs w:val="28"/>
        </w:rPr>
        <w:t>,</w:t>
      </w:r>
      <w:r w:rsidRPr="00F51953">
        <w:rPr>
          <w:rFonts w:asciiTheme="minorHAnsi" w:hAnsiTheme="minorHAnsi" w:cstheme="minorHAnsi"/>
          <w:bCs/>
          <w:iCs/>
          <w:sz w:val="28"/>
          <w:szCs w:val="28"/>
        </w:rPr>
        <w:t xml:space="preserve"> misurarsi </w:t>
      </w:r>
      <w:r>
        <w:rPr>
          <w:rFonts w:asciiTheme="minorHAnsi" w:hAnsiTheme="minorHAnsi" w:cstheme="minorHAnsi"/>
          <w:bCs/>
          <w:iCs/>
          <w:sz w:val="28"/>
          <w:szCs w:val="28"/>
        </w:rPr>
        <w:t xml:space="preserve">anche </w:t>
      </w:r>
      <w:r w:rsidRPr="00F51953">
        <w:rPr>
          <w:rFonts w:asciiTheme="minorHAnsi" w:hAnsiTheme="minorHAnsi" w:cstheme="minorHAnsi"/>
          <w:bCs/>
          <w:iCs/>
          <w:sz w:val="28"/>
          <w:szCs w:val="28"/>
        </w:rPr>
        <w:t xml:space="preserve">con il passato. Che ci sia </w:t>
      </w:r>
      <w:r>
        <w:rPr>
          <w:rFonts w:asciiTheme="minorHAnsi" w:hAnsiTheme="minorHAnsi" w:cstheme="minorHAnsi"/>
          <w:bCs/>
          <w:iCs/>
          <w:sz w:val="28"/>
          <w:szCs w:val="28"/>
        </w:rPr>
        <w:t xml:space="preserve">la resurrezione </w:t>
      </w:r>
      <w:r w:rsidRPr="00F51953">
        <w:rPr>
          <w:rFonts w:asciiTheme="minorHAnsi" w:hAnsiTheme="minorHAnsi" w:cstheme="minorHAnsi"/>
          <w:bCs/>
          <w:iCs/>
          <w:sz w:val="28"/>
          <w:szCs w:val="28"/>
        </w:rPr>
        <w:t xml:space="preserve">è un dato di fede </w:t>
      </w:r>
      <w:r>
        <w:rPr>
          <w:rFonts w:asciiTheme="minorHAnsi" w:hAnsiTheme="minorHAnsi" w:cstheme="minorHAnsi"/>
          <w:bCs/>
          <w:iCs/>
          <w:sz w:val="28"/>
          <w:szCs w:val="28"/>
        </w:rPr>
        <w:t>(</w:t>
      </w:r>
      <w:r w:rsidRPr="00F51953">
        <w:rPr>
          <w:rFonts w:asciiTheme="minorHAnsi" w:hAnsiTheme="minorHAnsi" w:cstheme="minorHAnsi"/>
          <w:bCs/>
          <w:iCs/>
          <w:sz w:val="28"/>
          <w:szCs w:val="28"/>
        </w:rPr>
        <w:t>affermato da Maimonide</w:t>
      </w:r>
      <w:r>
        <w:rPr>
          <w:rFonts w:asciiTheme="minorHAnsi" w:hAnsiTheme="minorHAnsi" w:cstheme="minorHAnsi"/>
          <w:bCs/>
          <w:iCs/>
          <w:sz w:val="28"/>
          <w:szCs w:val="28"/>
        </w:rPr>
        <w:t xml:space="preserve"> – Rambam -</w:t>
      </w:r>
      <w:r w:rsidRPr="00F51953">
        <w:rPr>
          <w:rFonts w:asciiTheme="minorHAnsi" w:hAnsiTheme="minorHAnsi" w:cstheme="minorHAnsi"/>
          <w:bCs/>
          <w:iCs/>
          <w:sz w:val="28"/>
          <w:szCs w:val="28"/>
        </w:rPr>
        <w:t xml:space="preserve"> come coronamento dei suoi Tredici principi</w:t>
      </w:r>
      <w:r>
        <w:rPr>
          <w:rFonts w:asciiTheme="minorHAnsi" w:hAnsiTheme="minorHAnsi" w:cstheme="minorHAnsi"/>
          <w:bCs/>
          <w:iCs/>
          <w:sz w:val="28"/>
          <w:szCs w:val="28"/>
        </w:rPr>
        <w:t>)</w:t>
      </w:r>
      <w:r w:rsidRPr="00F51953">
        <w:rPr>
          <w:rFonts w:asciiTheme="minorHAnsi" w:hAnsiTheme="minorHAnsi" w:cstheme="minorHAnsi"/>
          <w:bCs/>
          <w:iCs/>
          <w:sz w:val="28"/>
          <w:szCs w:val="28"/>
        </w:rPr>
        <w:t xml:space="preserve">; cosa sia è </w:t>
      </w:r>
      <w:r>
        <w:rPr>
          <w:rFonts w:asciiTheme="minorHAnsi" w:hAnsiTheme="minorHAnsi" w:cstheme="minorHAnsi"/>
          <w:bCs/>
          <w:iCs/>
          <w:sz w:val="28"/>
          <w:szCs w:val="28"/>
        </w:rPr>
        <w:t xml:space="preserve">invece prospettiva </w:t>
      </w:r>
      <w:r w:rsidRPr="00F51953">
        <w:rPr>
          <w:rFonts w:asciiTheme="minorHAnsi" w:hAnsiTheme="minorHAnsi" w:cstheme="minorHAnsi"/>
          <w:bCs/>
          <w:iCs/>
          <w:sz w:val="28"/>
          <w:szCs w:val="28"/>
        </w:rPr>
        <w:t>ardu</w:t>
      </w:r>
      <w:r>
        <w:rPr>
          <w:rFonts w:asciiTheme="minorHAnsi" w:hAnsiTheme="minorHAnsi" w:cstheme="minorHAnsi"/>
          <w:bCs/>
          <w:iCs/>
          <w:sz w:val="28"/>
          <w:szCs w:val="28"/>
        </w:rPr>
        <w:t>a</w:t>
      </w:r>
      <w:r w:rsidRPr="00F51953">
        <w:rPr>
          <w:rFonts w:asciiTheme="minorHAnsi" w:hAnsiTheme="minorHAnsi" w:cstheme="minorHAnsi"/>
          <w:bCs/>
          <w:iCs/>
          <w:sz w:val="28"/>
          <w:szCs w:val="28"/>
        </w:rPr>
        <w:t xml:space="preserve"> da </w:t>
      </w:r>
      <w:r>
        <w:rPr>
          <w:rFonts w:asciiTheme="minorHAnsi" w:hAnsiTheme="minorHAnsi" w:cstheme="minorHAnsi"/>
          <w:bCs/>
          <w:iCs/>
          <w:sz w:val="28"/>
          <w:szCs w:val="28"/>
        </w:rPr>
        <w:t xml:space="preserve">definire. Maimonide riteneva che il corpo dei resuscitati fosse destinato di nuovo a morire. L’ </w:t>
      </w:r>
      <w:r w:rsidRPr="00F51953">
        <w:rPr>
          <w:rFonts w:asciiTheme="minorHAnsi" w:hAnsiTheme="minorHAnsi" w:cstheme="minorHAnsi"/>
          <w:bCs/>
          <w:i/>
          <w:sz w:val="28"/>
          <w:szCs w:val="28"/>
        </w:rPr>
        <w:t>Olam ha ba’</w:t>
      </w:r>
      <w:r>
        <w:rPr>
          <w:rFonts w:asciiTheme="minorHAnsi" w:hAnsiTheme="minorHAnsi" w:cstheme="minorHAnsi"/>
          <w:bCs/>
          <w:i/>
          <w:sz w:val="28"/>
          <w:szCs w:val="28"/>
        </w:rPr>
        <w:t xml:space="preserve"> </w:t>
      </w:r>
      <w:r>
        <w:rPr>
          <w:rFonts w:asciiTheme="minorHAnsi" w:hAnsiTheme="minorHAnsi" w:cstheme="minorHAnsi"/>
          <w:bCs/>
          <w:iCs/>
          <w:sz w:val="28"/>
          <w:szCs w:val="28"/>
        </w:rPr>
        <w:t>sarà una realtà unicamente spirituale; è infatti assurdo pensare a un corpo privo di tutte le funzioni proprie della corporeità (il nascere, il respirare, il crescere, il mangiare, il riprodursi, il morire). Ramban, al contrario, sostiene che la resurrezione dei morti è da pensarsi come atto finale; i risorti non dovranno più morire una seconda volta. Tuttavia questa posizione, a suo stesso dire, è in qualche modo conciliabile con quella di Rambam in gran parte lo è a motivo della beatitudine spirituale già goduta dai giusti nel Gan ’Eden. Si può essere beati anche senza corpo.</w:t>
      </w:r>
    </w:p>
    <w:p w:rsidR="001F0A6B" w:rsidRDefault="001F0A6B" w:rsidP="001F0A6B">
      <w:pPr>
        <w:pStyle w:val="c4"/>
        <w:spacing w:before="0" w:beforeAutospacing="0" w:after="0" w:afterAutospacing="0" w:line="360" w:lineRule="auto"/>
        <w:ind w:firstLine="284"/>
        <w:jc w:val="both"/>
        <w:rPr>
          <w:rFonts w:asciiTheme="minorHAnsi" w:hAnsiTheme="minorHAnsi" w:cstheme="minorHAnsi"/>
          <w:sz w:val="28"/>
        </w:rPr>
      </w:pPr>
      <w:r>
        <w:rPr>
          <w:rFonts w:asciiTheme="minorHAnsi" w:hAnsiTheme="minorHAnsi" w:cstheme="minorHAnsi"/>
          <w:bCs/>
          <w:iCs/>
          <w:sz w:val="28"/>
          <w:szCs w:val="28"/>
        </w:rPr>
        <w:t xml:space="preserve">Ci troviamo di fronte a discussioni dotate, nel Medioevo, di un carattere transculturale, visto che, </w:t>
      </w:r>
      <w:r w:rsidRPr="00D80EE4">
        <w:rPr>
          <w:rFonts w:asciiTheme="minorHAnsi" w:hAnsiTheme="minorHAnsi" w:cstheme="minorHAnsi"/>
          <w:bCs/>
          <w:i/>
          <w:sz w:val="28"/>
          <w:szCs w:val="28"/>
        </w:rPr>
        <w:t>mutatis</w:t>
      </w:r>
      <w:r>
        <w:rPr>
          <w:rFonts w:asciiTheme="minorHAnsi" w:hAnsiTheme="minorHAnsi" w:cstheme="minorHAnsi"/>
          <w:bCs/>
          <w:iCs/>
          <w:sz w:val="28"/>
          <w:szCs w:val="28"/>
        </w:rPr>
        <w:t xml:space="preserve"> </w:t>
      </w:r>
      <w:r w:rsidRPr="00D80EE4">
        <w:rPr>
          <w:rFonts w:asciiTheme="minorHAnsi" w:hAnsiTheme="minorHAnsi" w:cstheme="minorHAnsi"/>
          <w:bCs/>
          <w:i/>
          <w:sz w:val="28"/>
          <w:szCs w:val="28"/>
        </w:rPr>
        <w:t>mutandis</w:t>
      </w:r>
      <w:r>
        <w:rPr>
          <w:rFonts w:asciiTheme="minorHAnsi" w:hAnsiTheme="minorHAnsi" w:cstheme="minorHAnsi"/>
          <w:bCs/>
          <w:iCs/>
          <w:sz w:val="28"/>
          <w:szCs w:val="28"/>
        </w:rPr>
        <w:t xml:space="preserve">, sono attestate in ambito ebraico, cristiano e musulmano. Per tutte e tre le tradizioni religiose, la porta d’ingresso </w:t>
      </w:r>
      <w:r>
        <w:rPr>
          <w:rFonts w:asciiTheme="minorHAnsi" w:hAnsiTheme="minorHAnsi" w:cstheme="minorHAnsi"/>
          <w:bCs/>
          <w:iCs/>
          <w:sz w:val="28"/>
          <w:szCs w:val="28"/>
        </w:rPr>
        <w:lastRenderedPageBreak/>
        <w:t xml:space="preserve">all’aldilà è costituita dal giudizio di Dio. Sia nell’ebraismo, sia nel cristianesimo, sia nell’islam la misericordia divina è presentata come un attributo più </w:t>
      </w:r>
      <w:r w:rsidRPr="00646ABB">
        <w:rPr>
          <w:rFonts w:asciiTheme="minorHAnsi" w:hAnsiTheme="minorHAnsi" w:cstheme="minorHAnsi"/>
          <w:bCs/>
          <w:iCs/>
          <w:sz w:val="28"/>
          <w:szCs w:val="28"/>
        </w:rPr>
        <w:t xml:space="preserve">risolutivo </w:t>
      </w:r>
      <w:r>
        <w:rPr>
          <w:rFonts w:asciiTheme="minorHAnsi" w:hAnsiTheme="minorHAnsi" w:cstheme="minorHAnsi"/>
          <w:bCs/>
          <w:iCs/>
          <w:sz w:val="28"/>
          <w:szCs w:val="28"/>
        </w:rPr>
        <w:t xml:space="preserve">di quello </w:t>
      </w:r>
      <w:r w:rsidRPr="00646ABB">
        <w:rPr>
          <w:rFonts w:asciiTheme="minorHAnsi" w:hAnsiTheme="minorHAnsi" w:cstheme="minorHAnsi"/>
          <w:bCs/>
          <w:iCs/>
          <w:sz w:val="28"/>
          <w:szCs w:val="28"/>
        </w:rPr>
        <w:t xml:space="preserve">della giustizia; tuttavia </w:t>
      </w:r>
      <w:r>
        <w:rPr>
          <w:rFonts w:asciiTheme="minorHAnsi" w:hAnsiTheme="minorHAnsi" w:cstheme="minorHAnsi"/>
          <w:bCs/>
          <w:iCs/>
          <w:sz w:val="28"/>
          <w:szCs w:val="28"/>
        </w:rPr>
        <w:t xml:space="preserve">il suo essere prevalente emerge pur sempre dall’interno stesso </w:t>
      </w:r>
      <w:r w:rsidRPr="00646ABB">
        <w:rPr>
          <w:rFonts w:asciiTheme="minorHAnsi" w:hAnsiTheme="minorHAnsi" w:cstheme="minorHAnsi"/>
          <w:bCs/>
          <w:iCs/>
          <w:sz w:val="28"/>
          <w:szCs w:val="28"/>
        </w:rPr>
        <w:t>del giudizio</w:t>
      </w:r>
      <w:r>
        <w:rPr>
          <w:rFonts w:asciiTheme="minorHAnsi" w:hAnsiTheme="minorHAnsi" w:cstheme="minorHAnsi"/>
          <w:bCs/>
          <w:iCs/>
          <w:sz w:val="28"/>
          <w:szCs w:val="28"/>
        </w:rPr>
        <w:t xml:space="preserve"> divino che rimane comunque un </w:t>
      </w:r>
      <w:r w:rsidRPr="00646ABB">
        <w:rPr>
          <w:rFonts w:asciiTheme="minorHAnsi" w:hAnsiTheme="minorHAnsi" w:cstheme="minorHAnsi"/>
          <w:bCs/>
          <w:iCs/>
          <w:sz w:val="28"/>
          <w:szCs w:val="28"/>
        </w:rPr>
        <w:t xml:space="preserve">passaggio obbligato. </w:t>
      </w:r>
      <w:r w:rsidRPr="00646ABB">
        <w:rPr>
          <w:rFonts w:asciiTheme="minorHAnsi" w:hAnsiTheme="minorHAnsi" w:cstheme="minorHAnsi"/>
          <w:sz w:val="28"/>
        </w:rPr>
        <w:t xml:space="preserve">In questa o nell'altra vita, il </w:t>
      </w:r>
      <w:r>
        <w:rPr>
          <w:rFonts w:asciiTheme="minorHAnsi" w:hAnsiTheme="minorHAnsi" w:cstheme="minorHAnsi"/>
          <w:sz w:val="28"/>
        </w:rPr>
        <w:t xml:space="preserve">sommo Giudice, </w:t>
      </w:r>
      <w:r w:rsidRPr="00646ABB">
        <w:rPr>
          <w:rFonts w:asciiTheme="minorHAnsi" w:hAnsiTheme="minorHAnsi" w:cstheme="minorHAnsi"/>
          <w:sz w:val="28"/>
        </w:rPr>
        <w:t>da un lato</w:t>
      </w:r>
      <w:r>
        <w:rPr>
          <w:rFonts w:asciiTheme="minorHAnsi" w:hAnsiTheme="minorHAnsi" w:cstheme="minorHAnsi"/>
          <w:sz w:val="28"/>
        </w:rPr>
        <w:t>,</w:t>
      </w:r>
      <w:r w:rsidRPr="00646ABB">
        <w:rPr>
          <w:rFonts w:asciiTheme="minorHAnsi" w:hAnsiTheme="minorHAnsi" w:cstheme="minorHAnsi"/>
          <w:sz w:val="28"/>
        </w:rPr>
        <w:t xml:space="preserve"> fa ricadere sull'empio i frutti del suo operare </w:t>
      </w:r>
      <w:r>
        <w:rPr>
          <w:rFonts w:asciiTheme="minorHAnsi" w:hAnsiTheme="minorHAnsi" w:cstheme="minorHAnsi"/>
          <w:sz w:val="28"/>
        </w:rPr>
        <w:t xml:space="preserve">(anche in vista di una possibile purificazione) </w:t>
      </w:r>
      <w:r w:rsidRPr="00646ABB">
        <w:rPr>
          <w:rFonts w:asciiTheme="minorHAnsi" w:hAnsiTheme="minorHAnsi" w:cstheme="minorHAnsi"/>
          <w:sz w:val="28"/>
        </w:rPr>
        <w:t xml:space="preserve">mentre, dall'altro, premia </w:t>
      </w:r>
      <w:r>
        <w:rPr>
          <w:rFonts w:asciiTheme="minorHAnsi" w:hAnsiTheme="minorHAnsi" w:cstheme="minorHAnsi"/>
          <w:sz w:val="28"/>
        </w:rPr>
        <w:t>le persone rette</w:t>
      </w:r>
      <w:r w:rsidRPr="00646ABB">
        <w:rPr>
          <w:rFonts w:asciiTheme="minorHAnsi" w:hAnsiTheme="minorHAnsi" w:cstheme="minorHAnsi"/>
          <w:sz w:val="28"/>
        </w:rPr>
        <w:t>.  Come avviene nei tribunali umani, anche in quello celeste la figura del giudice attesta</w:t>
      </w:r>
      <w:r>
        <w:rPr>
          <w:rFonts w:asciiTheme="minorHAnsi" w:hAnsiTheme="minorHAnsi" w:cstheme="minorHAnsi"/>
          <w:sz w:val="28"/>
        </w:rPr>
        <w:t>, quindi,</w:t>
      </w:r>
      <w:r w:rsidRPr="00646ABB">
        <w:rPr>
          <w:rFonts w:asciiTheme="minorHAnsi" w:hAnsiTheme="minorHAnsi" w:cstheme="minorHAnsi"/>
          <w:sz w:val="28"/>
        </w:rPr>
        <w:t xml:space="preserve"> che, tra l'agire e le sue conseguenze, non sussiste un</w:t>
      </w:r>
      <w:r>
        <w:rPr>
          <w:rFonts w:asciiTheme="minorHAnsi" w:hAnsiTheme="minorHAnsi" w:cstheme="minorHAnsi"/>
          <w:sz w:val="28"/>
        </w:rPr>
        <w:t xml:space="preserve"> costante</w:t>
      </w:r>
      <w:r w:rsidRPr="00646ABB">
        <w:rPr>
          <w:rFonts w:asciiTheme="minorHAnsi" w:hAnsiTheme="minorHAnsi" w:cstheme="minorHAnsi"/>
          <w:sz w:val="28"/>
        </w:rPr>
        <w:t xml:space="preserve"> vincolo di causa ed effetto. Pronunciare una sentenza comporta cercare di sanare una situazione che, lasciata a sé stessa, sarebbe contraddistinta da un irrimediabile squilibrio. </w:t>
      </w:r>
    </w:p>
    <w:p w:rsidR="001F0A6B" w:rsidRPr="00646ABB" w:rsidRDefault="001F0A6B" w:rsidP="001F0A6B">
      <w:pPr>
        <w:pStyle w:val="c4"/>
        <w:spacing w:before="0" w:beforeAutospacing="0" w:after="0" w:afterAutospacing="0" w:line="360" w:lineRule="auto"/>
        <w:ind w:firstLine="284"/>
        <w:jc w:val="both"/>
        <w:rPr>
          <w:rFonts w:asciiTheme="minorHAnsi" w:hAnsiTheme="minorHAnsi" w:cstheme="minorHAnsi"/>
          <w:sz w:val="28"/>
          <w:szCs w:val="28"/>
        </w:rPr>
      </w:pPr>
      <w:r>
        <w:rPr>
          <w:rFonts w:asciiTheme="minorHAnsi" w:hAnsiTheme="minorHAnsi" w:cstheme="minorHAnsi"/>
          <w:sz w:val="28"/>
        </w:rPr>
        <w:t>La sensibilità e la riflessione contemporanee trovano la figura del Dio giudice altamente problematica. Chi non vuole andare fino in fondo, si limita a superare il disagio affidandosi al primato assoluto di una universale misericordia divina; chi, senza abbandonare la figura del giudizio, si spinge più in là ritiene che la presenza del giudizio comporti la presenza di un Dio debole o addirittura sconfitto, costretto a punire in quanto incapace di trattenere il dilagare il male nel mondo e in grado di salvare i giusti e i sofferenti solo in una forma tanto povera da essere paragonato all’atto di strappare qualche brandello di una preda già afferrata da un leone.</w:t>
      </w:r>
      <w:r>
        <w:rPr>
          <w:rStyle w:val="Rimandonotaapidipagina"/>
          <w:rFonts w:asciiTheme="minorHAnsi" w:hAnsiTheme="minorHAnsi" w:cstheme="minorHAnsi"/>
          <w:sz w:val="28"/>
        </w:rPr>
        <w:footnoteReference w:id="4"/>
      </w:r>
      <w:r>
        <w:rPr>
          <w:rFonts w:asciiTheme="minorHAnsi" w:hAnsiTheme="minorHAnsi" w:cstheme="minorHAnsi"/>
          <w:sz w:val="28"/>
        </w:rPr>
        <w:t xml:space="preserve"> Si può però compiere anche un passo ulteriore e prospettare il </w:t>
      </w:r>
      <w:r>
        <w:rPr>
          <w:rFonts w:asciiTheme="minorHAnsi" w:hAnsiTheme="minorHAnsi" w:cstheme="minorHAnsi"/>
          <w:i/>
          <w:iCs/>
          <w:sz w:val="28"/>
        </w:rPr>
        <w:t xml:space="preserve">karma </w:t>
      </w:r>
      <w:r>
        <w:rPr>
          <w:rFonts w:asciiTheme="minorHAnsi" w:hAnsiTheme="minorHAnsi" w:cstheme="minorHAnsi"/>
          <w:sz w:val="28"/>
        </w:rPr>
        <w:t>come una realtà più convincente di quella che si appella al giudizio di Dio. Nel Medioevo questi pensieri non esistevano e Ramban poteva parlare del Gehinnom, del Gan Eden e dell’’</w:t>
      </w:r>
      <w:r w:rsidRPr="00133FF1">
        <w:rPr>
          <w:rFonts w:asciiTheme="minorHAnsi" w:hAnsiTheme="minorHAnsi" w:cstheme="minorHAnsi"/>
          <w:i/>
          <w:iCs/>
          <w:sz w:val="28"/>
        </w:rPr>
        <w:t xml:space="preserve">Olam </w:t>
      </w:r>
      <w:r>
        <w:rPr>
          <w:rFonts w:asciiTheme="minorHAnsi" w:hAnsiTheme="minorHAnsi" w:cstheme="minorHAnsi"/>
          <w:i/>
          <w:iCs/>
          <w:sz w:val="28"/>
        </w:rPr>
        <w:t xml:space="preserve">ha </w:t>
      </w:r>
      <w:r w:rsidRPr="00133FF1">
        <w:rPr>
          <w:rFonts w:asciiTheme="minorHAnsi" w:hAnsiTheme="minorHAnsi" w:cstheme="minorHAnsi"/>
          <w:i/>
          <w:iCs/>
          <w:sz w:val="28"/>
        </w:rPr>
        <w:t>ba’</w:t>
      </w:r>
      <w:r>
        <w:rPr>
          <w:rFonts w:asciiTheme="minorHAnsi" w:hAnsiTheme="minorHAnsi" w:cstheme="minorHAnsi"/>
          <w:sz w:val="28"/>
        </w:rPr>
        <w:t xml:space="preserve"> appoggiandosi alle opinioni di venerati Maestri z.l. Una prospettiva con cui, come dimostra l’esistenza stessa di questa traduzione, è ancora fruttuoso confrontarsi sul piano culturale. Anzi, per qualche lettore queste pagine possono diventare </w:t>
      </w:r>
      <w:r>
        <w:rPr>
          <w:rFonts w:asciiTheme="minorHAnsi" w:hAnsiTheme="minorHAnsi" w:cstheme="minorHAnsi"/>
          <w:sz w:val="28"/>
        </w:rPr>
        <w:lastRenderedPageBreak/>
        <w:t>un’occasione per elevare il suo sguardo ancora più in alto. Siamo, quindi, grati a Tiziana Mayer per la sua intelligente fatica.</w:t>
      </w:r>
    </w:p>
    <w:p w:rsidR="001F0A6B" w:rsidRPr="00646ABB" w:rsidRDefault="001F0A6B" w:rsidP="001F0A6B">
      <w:pPr>
        <w:pStyle w:val="default-style"/>
        <w:spacing w:before="0" w:beforeAutospacing="0" w:after="0" w:afterAutospacing="0" w:line="360" w:lineRule="auto"/>
        <w:ind w:firstLine="284"/>
        <w:jc w:val="both"/>
        <w:rPr>
          <w:rFonts w:asciiTheme="minorHAnsi" w:hAnsiTheme="minorHAnsi" w:cstheme="minorHAnsi"/>
          <w:bCs/>
          <w:iCs/>
          <w:sz w:val="28"/>
          <w:szCs w:val="28"/>
        </w:rPr>
      </w:pPr>
    </w:p>
    <w:p w:rsidR="001F0A6B" w:rsidRPr="00646ABB" w:rsidRDefault="001F0A6B" w:rsidP="001F0A6B">
      <w:pPr>
        <w:tabs>
          <w:tab w:val="left" w:pos="567"/>
        </w:tabs>
        <w:spacing w:after="0" w:line="360" w:lineRule="auto"/>
        <w:ind w:firstLine="284"/>
        <w:jc w:val="both"/>
        <w:rPr>
          <w:rFonts w:eastAsia="Times New Roman" w:cstheme="minorHAnsi"/>
          <w:bCs/>
          <w:iCs/>
          <w:sz w:val="28"/>
          <w:szCs w:val="28"/>
        </w:rPr>
      </w:pPr>
    </w:p>
    <w:p w:rsidR="001F0A6B" w:rsidRPr="00646ABB" w:rsidRDefault="001F0A6B" w:rsidP="001F0A6B">
      <w:pPr>
        <w:tabs>
          <w:tab w:val="left" w:pos="567"/>
        </w:tabs>
        <w:spacing w:after="0" w:line="360" w:lineRule="auto"/>
        <w:ind w:firstLine="284"/>
        <w:jc w:val="both"/>
        <w:rPr>
          <w:rFonts w:eastAsia="Times New Roman" w:cstheme="minorHAnsi"/>
          <w:bCs/>
          <w:iCs/>
          <w:sz w:val="28"/>
          <w:szCs w:val="28"/>
        </w:rPr>
      </w:pPr>
    </w:p>
    <w:p w:rsidR="001F0A6B" w:rsidRPr="00646ABB" w:rsidRDefault="001F0A6B" w:rsidP="001F0A6B">
      <w:pPr>
        <w:tabs>
          <w:tab w:val="left" w:pos="567"/>
        </w:tabs>
        <w:spacing w:after="0" w:line="360" w:lineRule="auto"/>
        <w:ind w:firstLine="284"/>
        <w:jc w:val="both"/>
        <w:rPr>
          <w:rFonts w:eastAsia="Times New Roman" w:cstheme="minorHAnsi"/>
          <w:bCs/>
          <w:iCs/>
          <w:sz w:val="28"/>
          <w:szCs w:val="28"/>
        </w:rPr>
      </w:pPr>
    </w:p>
    <w:p w:rsidR="001F0A6B" w:rsidRPr="00646ABB" w:rsidRDefault="001F0A6B" w:rsidP="001F0A6B">
      <w:pPr>
        <w:tabs>
          <w:tab w:val="left" w:pos="567"/>
        </w:tabs>
        <w:spacing w:after="0" w:line="360" w:lineRule="auto"/>
        <w:ind w:firstLine="284"/>
        <w:jc w:val="both"/>
        <w:rPr>
          <w:rFonts w:eastAsia="Times New Roman" w:cstheme="minorHAnsi"/>
          <w:bCs/>
          <w:iCs/>
          <w:sz w:val="28"/>
          <w:szCs w:val="28"/>
        </w:rPr>
      </w:pPr>
    </w:p>
    <w:p w:rsidR="001F0A6B" w:rsidRPr="00646ABB" w:rsidRDefault="001F0A6B" w:rsidP="001F0A6B">
      <w:pPr>
        <w:tabs>
          <w:tab w:val="left" w:pos="567"/>
        </w:tabs>
        <w:spacing w:after="0" w:line="360" w:lineRule="auto"/>
        <w:ind w:firstLine="284"/>
        <w:jc w:val="both"/>
        <w:rPr>
          <w:rFonts w:eastAsia="Times New Roman" w:cstheme="minorHAnsi"/>
          <w:bCs/>
          <w:iCs/>
          <w:sz w:val="28"/>
          <w:szCs w:val="28"/>
        </w:rPr>
      </w:pPr>
      <w:r w:rsidRPr="00646ABB">
        <w:rPr>
          <w:rFonts w:eastAsia="Times New Roman" w:cstheme="minorHAnsi"/>
          <w:bCs/>
          <w:iCs/>
          <w:sz w:val="28"/>
          <w:szCs w:val="28"/>
        </w:rPr>
        <w:t xml:space="preserve"> </w:t>
      </w:r>
    </w:p>
    <w:p w:rsidR="001F0A6B" w:rsidRDefault="001F0A6B" w:rsidP="001F0A6B">
      <w:pPr>
        <w:tabs>
          <w:tab w:val="left" w:pos="567"/>
        </w:tabs>
        <w:spacing w:after="0" w:line="360" w:lineRule="auto"/>
        <w:ind w:firstLine="284"/>
        <w:jc w:val="both"/>
        <w:rPr>
          <w:rFonts w:eastAsia="Times New Roman" w:cstheme="minorHAnsi"/>
          <w:bCs/>
          <w:iCs/>
          <w:sz w:val="28"/>
          <w:szCs w:val="28"/>
        </w:rPr>
      </w:pPr>
    </w:p>
    <w:p w:rsidR="001F0A6B" w:rsidRDefault="001F0A6B" w:rsidP="001F0A6B">
      <w:pPr>
        <w:tabs>
          <w:tab w:val="left" w:pos="567"/>
        </w:tabs>
        <w:spacing w:after="0" w:line="360" w:lineRule="auto"/>
        <w:ind w:firstLine="284"/>
        <w:jc w:val="both"/>
        <w:rPr>
          <w:rFonts w:eastAsia="Times New Roman" w:cstheme="minorHAnsi"/>
          <w:bCs/>
          <w:iCs/>
          <w:sz w:val="28"/>
          <w:szCs w:val="28"/>
        </w:rPr>
      </w:pPr>
    </w:p>
    <w:p w:rsidR="001F0A6B" w:rsidRDefault="001F0A6B" w:rsidP="001F0A6B">
      <w:pPr>
        <w:tabs>
          <w:tab w:val="left" w:pos="567"/>
        </w:tabs>
        <w:spacing w:after="0" w:line="360" w:lineRule="auto"/>
        <w:ind w:firstLine="284"/>
        <w:jc w:val="both"/>
        <w:rPr>
          <w:rFonts w:eastAsia="Times New Roman" w:cstheme="minorHAnsi"/>
          <w:sz w:val="28"/>
          <w:szCs w:val="28"/>
        </w:rPr>
      </w:pPr>
    </w:p>
    <w:p w:rsidR="001F0A6B" w:rsidRDefault="001F0A6B" w:rsidP="001F0A6B">
      <w:pPr>
        <w:tabs>
          <w:tab w:val="left" w:pos="567"/>
        </w:tabs>
        <w:spacing w:after="0" w:line="360" w:lineRule="auto"/>
        <w:ind w:firstLine="284"/>
        <w:jc w:val="both"/>
        <w:rPr>
          <w:rFonts w:eastAsia="Times New Roman" w:cstheme="minorHAnsi"/>
          <w:sz w:val="28"/>
          <w:szCs w:val="28"/>
        </w:rPr>
      </w:pPr>
    </w:p>
    <w:p w:rsidR="001F0A6B" w:rsidRDefault="001F0A6B" w:rsidP="001F0A6B">
      <w:pPr>
        <w:tabs>
          <w:tab w:val="left" w:pos="567"/>
        </w:tabs>
        <w:spacing w:after="0" w:line="360" w:lineRule="auto"/>
        <w:ind w:firstLine="284"/>
        <w:jc w:val="both"/>
        <w:rPr>
          <w:rFonts w:eastAsia="Times New Roman" w:cstheme="minorHAnsi"/>
          <w:sz w:val="28"/>
          <w:szCs w:val="28"/>
        </w:rPr>
      </w:pPr>
    </w:p>
    <w:p w:rsidR="001F0A6B" w:rsidRDefault="001F0A6B" w:rsidP="001F0A6B">
      <w:pPr>
        <w:tabs>
          <w:tab w:val="left" w:pos="567"/>
        </w:tabs>
        <w:spacing w:after="0" w:line="360" w:lineRule="auto"/>
        <w:ind w:firstLine="284"/>
        <w:jc w:val="both"/>
        <w:rPr>
          <w:rFonts w:eastAsia="Times New Roman" w:cstheme="minorHAnsi"/>
          <w:sz w:val="28"/>
          <w:szCs w:val="28"/>
        </w:rPr>
      </w:pPr>
    </w:p>
    <w:p w:rsidR="001F0A6B" w:rsidRPr="00F14790" w:rsidRDefault="001F0A6B" w:rsidP="001F0A6B">
      <w:pPr>
        <w:tabs>
          <w:tab w:val="left" w:pos="567"/>
        </w:tabs>
        <w:spacing w:after="0" w:line="360" w:lineRule="auto"/>
        <w:ind w:firstLine="284"/>
        <w:jc w:val="both"/>
        <w:rPr>
          <w:rFonts w:cstheme="minorHAnsi"/>
          <w:sz w:val="28"/>
        </w:rPr>
      </w:pPr>
    </w:p>
    <w:p w:rsidR="001F0A6B" w:rsidRDefault="001F0A6B" w:rsidP="001F0A6B">
      <w:pPr>
        <w:tabs>
          <w:tab w:val="left" w:pos="567"/>
        </w:tabs>
        <w:spacing w:after="0" w:line="360" w:lineRule="auto"/>
        <w:ind w:firstLine="284"/>
        <w:jc w:val="both"/>
        <w:rPr>
          <w:rFonts w:cstheme="minorHAnsi"/>
          <w:sz w:val="28"/>
        </w:rPr>
      </w:pPr>
    </w:p>
    <w:p w:rsidR="001F0A6B" w:rsidRPr="00AB0C94" w:rsidRDefault="001F0A6B" w:rsidP="001F0A6B">
      <w:pPr>
        <w:spacing w:after="0" w:line="360" w:lineRule="auto"/>
        <w:ind w:firstLine="284"/>
        <w:jc w:val="both"/>
        <w:rPr>
          <w:rFonts w:asciiTheme="majorHAnsi" w:eastAsia="Times New Roman" w:hAnsiTheme="majorHAnsi" w:cstheme="majorHAnsi"/>
          <w:bCs/>
          <w:i/>
          <w:sz w:val="28"/>
          <w:szCs w:val="28"/>
          <w:highlight w:val="white"/>
        </w:rPr>
      </w:pPr>
    </w:p>
    <w:p w:rsidR="001F0A6B" w:rsidRPr="0003531E" w:rsidRDefault="001F0A6B" w:rsidP="001F0A6B">
      <w:pPr>
        <w:spacing w:after="0" w:line="360" w:lineRule="auto"/>
        <w:ind w:firstLine="284"/>
        <w:jc w:val="both"/>
        <w:rPr>
          <w:rFonts w:cstheme="minorHAnsi"/>
          <w:sz w:val="28"/>
          <w:szCs w:val="28"/>
        </w:rPr>
      </w:pPr>
    </w:p>
    <w:p w:rsidR="00A503BE" w:rsidRDefault="00A503BE"/>
    <w:sectPr w:rsidR="00A503B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31C0" w:rsidRDefault="005431C0" w:rsidP="001F0A6B">
      <w:pPr>
        <w:spacing w:after="0" w:line="240" w:lineRule="auto"/>
      </w:pPr>
      <w:r>
        <w:separator/>
      </w:r>
    </w:p>
  </w:endnote>
  <w:endnote w:type="continuationSeparator" w:id="0">
    <w:p w:rsidR="005431C0" w:rsidRDefault="005431C0" w:rsidP="001F0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31C0" w:rsidRDefault="005431C0" w:rsidP="001F0A6B">
      <w:pPr>
        <w:spacing w:after="0" w:line="240" w:lineRule="auto"/>
      </w:pPr>
      <w:r>
        <w:separator/>
      </w:r>
    </w:p>
  </w:footnote>
  <w:footnote w:type="continuationSeparator" w:id="0">
    <w:p w:rsidR="005431C0" w:rsidRDefault="005431C0" w:rsidP="001F0A6B">
      <w:pPr>
        <w:spacing w:after="0" w:line="240" w:lineRule="auto"/>
      </w:pPr>
      <w:r>
        <w:continuationSeparator/>
      </w:r>
    </w:p>
  </w:footnote>
  <w:footnote w:id="1">
    <w:p w:rsidR="001F0A6B" w:rsidRPr="00235128" w:rsidRDefault="001F0A6B" w:rsidP="001F0A6B">
      <w:pPr>
        <w:pStyle w:val="Testonotaapidipagina"/>
        <w:ind w:left="0"/>
        <w:rPr>
          <w:sz w:val="24"/>
          <w:szCs w:val="24"/>
        </w:rPr>
      </w:pPr>
      <w:r w:rsidRPr="00235128">
        <w:rPr>
          <w:sz w:val="24"/>
          <w:szCs w:val="24"/>
        </w:rPr>
        <w:t xml:space="preserve"> </w:t>
      </w:r>
      <w:r w:rsidRPr="00235128">
        <w:rPr>
          <w:rStyle w:val="Rimandonotaapidipagina"/>
          <w:sz w:val="24"/>
          <w:szCs w:val="24"/>
        </w:rPr>
        <w:footnoteRef/>
      </w:r>
      <w:r w:rsidRPr="00235128">
        <w:rPr>
          <w:sz w:val="24"/>
          <w:szCs w:val="24"/>
        </w:rPr>
        <w:t xml:space="preserve"> Il passo è tratto dall' </w:t>
      </w:r>
      <w:r w:rsidRPr="00235128">
        <w:rPr>
          <w:i/>
          <w:sz w:val="24"/>
          <w:szCs w:val="24"/>
        </w:rPr>
        <w:t xml:space="preserve">Aṅguttara-nikāya </w:t>
      </w:r>
      <w:r w:rsidRPr="00235128">
        <w:rPr>
          <w:sz w:val="24"/>
          <w:szCs w:val="24"/>
        </w:rPr>
        <w:t xml:space="preserve">cit. in </w:t>
      </w:r>
      <w:r w:rsidRPr="00235128">
        <w:rPr>
          <w:smallCaps/>
          <w:sz w:val="24"/>
          <w:szCs w:val="24"/>
        </w:rPr>
        <w:t>O. Botto</w:t>
      </w:r>
      <w:r w:rsidRPr="00235128">
        <w:rPr>
          <w:sz w:val="24"/>
          <w:szCs w:val="24"/>
        </w:rPr>
        <w:t xml:space="preserve">, </w:t>
      </w:r>
      <w:r w:rsidRPr="00235128">
        <w:rPr>
          <w:i/>
          <w:sz w:val="24"/>
          <w:szCs w:val="24"/>
        </w:rPr>
        <w:t>Buddha e il buddhismo</w:t>
      </w:r>
      <w:r w:rsidRPr="00235128">
        <w:rPr>
          <w:sz w:val="24"/>
          <w:szCs w:val="24"/>
        </w:rPr>
        <w:t>, Oscar Mondadori, Milano 1989, 67.</w:t>
      </w:r>
    </w:p>
  </w:footnote>
  <w:footnote w:id="2">
    <w:p w:rsidR="001F0A6B" w:rsidRPr="00AB72A1" w:rsidRDefault="001F0A6B" w:rsidP="001F0A6B">
      <w:pPr>
        <w:pStyle w:val="Testonotaapidipagina"/>
        <w:rPr>
          <w:sz w:val="24"/>
          <w:szCs w:val="24"/>
        </w:rPr>
      </w:pPr>
      <w:r w:rsidRPr="000326AD">
        <w:rPr>
          <w:rStyle w:val="Rimandonotaapidipagina"/>
          <w:sz w:val="24"/>
          <w:szCs w:val="24"/>
        </w:rPr>
        <w:footnoteRef/>
      </w:r>
      <w:r>
        <w:rPr>
          <w:sz w:val="24"/>
          <w:szCs w:val="24"/>
        </w:rPr>
        <w:t xml:space="preserve"> Cit. in A. Mello, </w:t>
      </w:r>
      <w:r>
        <w:rPr>
          <w:i/>
          <w:iCs/>
          <w:sz w:val="24"/>
          <w:szCs w:val="24"/>
        </w:rPr>
        <w:t>Il Servo sofferente nella tradizione ebraica</w:t>
      </w:r>
      <w:r>
        <w:rPr>
          <w:sz w:val="24"/>
          <w:szCs w:val="24"/>
        </w:rPr>
        <w:t xml:space="preserve">, in P. Coda, M. Crociata (edd.), </w:t>
      </w:r>
      <w:r>
        <w:rPr>
          <w:i/>
          <w:iCs/>
          <w:sz w:val="24"/>
          <w:szCs w:val="24"/>
        </w:rPr>
        <w:t>Il crocifisso e le religioni</w:t>
      </w:r>
      <w:r>
        <w:rPr>
          <w:sz w:val="24"/>
          <w:szCs w:val="24"/>
        </w:rPr>
        <w:t xml:space="preserve">, </w:t>
      </w:r>
      <w:r>
        <w:rPr>
          <w:i/>
          <w:iCs/>
          <w:sz w:val="24"/>
          <w:szCs w:val="24"/>
        </w:rPr>
        <w:t>compassione di Dio e sofferenza dell’uomo nelle religioni monoteistiche</w:t>
      </w:r>
      <w:r>
        <w:rPr>
          <w:sz w:val="24"/>
          <w:szCs w:val="24"/>
        </w:rPr>
        <w:t>, Città Nuova, Facoltà Teologica di Sicilia, Roma 2002, p.111.</w:t>
      </w:r>
    </w:p>
  </w:footnote>
  <w:footnote w:id="3">
    <w:p w:rsidR="001F0A6B" w:rsidRPr="00AB72A1" w:rsidRDefault="001F0A6B" w:rsidP="001F0A6B">
      <w:pPr>
        <w:pStyle w:val="Testonotaapidipagina"/>
        <w:rPr>
          <w:sz w:val="24"/>
          <w:szCs w:val="24"/>
        </w:rPr>
      </w:pPr>
      <w:r w:rsidRPr="00AB72A1">
        <w:rPr>
          <w:rStyle w:val="Rimandonotaapidipagina"/>
          <w:sz w:val="24"/>
          <w:szCs w:val="24"/>
        </w:rPr>
        <w:footnoteRef/>
      </w:r>
      <w:r w:rsidRPr="00AB72A1">
        <w:rPr>
          <w:sz w:val="24"/>
          <w:szCs w:val="24"/>
        </w:rPr>
        <w:t xml:space="preserve"> </w:t>
      </w:r>
      <w:r w:rsidRPr="000326AD">
        <w:rPr>
          <w:sz w:val="24"/>
          <w:szCs w:val="24"/>
        </w:rPr>
        <w:t>E. B</w:t>
      </w:r>
      <w:r w:rsidRPr="00AD4B4B">
        <w:rPr>
          <w:smallCaps/>
          <w:sz w:val="24"/>
          <w:szCs w:val="24"/>
        </w:rPr>
        <w:t>enamozeg</w:t>
      </w:r>
      <w:r w:rsidRPr="000326AD">
        <w:rPr>
          <w:sz w:val="24"/>
          <w:szCs w:val="24"/>
        </w:rPr>
        <w:t xml:space="preserve">h, </w:t>
      </w:r>
      <w:r w:rsidRPr="00AB72A1">
        <w:rPr>
          <w:i/>
          <w:iCs/>
          <w:sz w:val="24"/>
          <w:szCs w:val="24"/>
        </w:rPr>
        <w:t>Il mio credo</w:t>
      </w:r>
      <w:r>
        <w:rPr>
          <w:sz w:val="24"/>
          <w:szCs w:val="24"/>
        </w:rPr>
        <w:t xml:space="preserve">, in </w:t>
      </w:r>
      <w:r>
        <w:rPr>
          <w:i/>
          <w:iCs/>
          <w:sz w:val="24"/>
          <w:szCs w:val="24"/>
        </w:rPr>
        <w:t>Teologia dogmatica e apologetica</w:t>
      </w:r>
      <w:r>
        <w:rPr>
          <w:sz w:val="24"/>
          <w:szCs w:val="24"/>
        </w:rPr>
        <w:t xml:space="preserve">, vol. I, </w:t>
      </w:r>
      <w:r>
        <w:rPr>
          <w:i/>
          <w:iCs/>
          <w:sz w:val="24"/>
          <w:szCs w:val="24"/>
        </w:rPr>
        <w:t>Dio</w:t>
      </w:r>
      <w:r>
        <w:rPr>
          <w:sz w:val="24"/>
          <w:szCs w:val="24"/>
        </w:rPr>
        <w:t>, Livorno 1877, p. 275</w:t>
      </w:r>
    </w:p>
  </w:footnote>
  <w:footnote w:id="4">
    <w:p w:rsidR="001F0A6B" w:rsidRPr="00F5611E" w:rsidRDefault="001F0A6B" w:rsidP="001F0A6B">
      <w:pPr>
        <w:pStyle w:val="Testonotaapidipagina"/>
        <w:rPr>
          <w:sz w:val="24"/>
          <w:szCs w:val="24"/>
        </w:rPr>
      </w:pPr>
      <w:r w:rsidRPr="00F5611E">
        <w:rPr>
          <w:rStyle w:val="Rimandonotaapidipagina"/>
          <w:sz w:val="24"/>
          <w:szCs w:val="24"/>
        </w:rPr>
        <w:footnoteRef/>
      </w:r>
      <w:r w:rsidRPr="00F5611E">
        <w:rPr>
          <w:sz w:val="24"/>
          <w:szCs w:val="24"/>
        </w:rPr>
        <w:t xml:space="preserve"> Cfr</w:t>
      </w:r>
      <w:r w:rsidRPr="00172A3F">
        <w:rPr>
          <w:smallCaps/>
          <w:sz w:val="24"/>
          <w:szCs w:val="24"/>
        </w:rPr>
        <w:t>. S. Quinzio</w:t>
      </w:r>
      <w:r w:rsidRPr="00F5611E">
        <w:rPr>
          <w:sz w:val="24"/>
          <w:szCs w:val="24"/>
        </w:rPr>
        <w:t xml:space="preserve">, </w:t>
      </w:r>
      <w:r w:rsidRPr="00F5611E">
        <w:rPr>
          <w:i/>
          <w:iCs/>
          <w:sz w:val="24"/>
          <w:szCs w:val="24"/>
        </w:rPr>
        <w:t>Dalla gola del leone</w:t>
      </w:r>
      <w:r w:rsidRPr="00F5611E">
        <w:rPr>
          <w:sz w:val="24"/>
          <w:szCs w:val="24"/>
        </w:rPr>
        <w:t>, Adelphi, Milano 1980.</w:t>
      </w:r>
      <w:r>
        <w:rPr>
          <w:sz w:val="24"/>
          <w:szCs w:val="24"/>
        </w:rPr>
        <w:t xml:space="preserve"> Il titolo fa riferimento al versetto: «Come il pastore strappa dalla bocca del leone due zampe o il lobo di un orecchio, così scamperanno i figli d’Israele» (Amos 3,12).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3C"/>
    <w:rsid w:val="001F0A6B"/>
    <w:rsid w:val="005431C0"/>
    <w:rsid w:val="00A503BE"/>
    <w:rsid w:val="00D358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F88F9"/>
  <w15:chartTrackingRefBased/>
  <w15:docId w15:val="{DF99EB6F-4883-457F-BF02-8299B15D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F0A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nhideWhenUsed/>
    <w:rsid w:val="001F0A6B"/>
    <w:pPr>
      <w:spacing w:after="0" w:line="240" w:lineRule="auto"/>
      <w:ind w:left="284"/>
      <w:jc w:val="both"/>
    </w:pPr>
    <w:rPr>
      <w:sz w:val="20"/>
      <w:szCs w:val="20"/>
    </w:rPr>
  </w:style>
  <w:style w:type="character" w:customStyle="1" w:styleId="TestonotaapidipaginaCarattere">
    <w:name w:val="Testo nota a piè di pagina Carattere"/>
    <w:basedOn w:val="Carpredefinitoparagrafo"/>
    <w:link w:val="Testonotaapidipagina"/>
    <w:rsid w:val="001F0A6B"/>
    <w:rPr>
      <w:sz w:val="20"/>
      <w:szCs w:val="20"/>
    </w:rPr>
  </w:style>
  <w:style w:type="character" w:styleId="Rimandonotaapidipagina">
    <w:name w:val="footnote reference"/>
    <w:basedOn w:val="Carpredefinitoparagrafo"/>
    <w:semiHidden/>
    <w:unhideWhenUsed/>
    <w:rsid w:val="001F0A6B"/>
    <w:rPr>
      <w:vertAlign w:val="superscript"/>
    </w:rPr>
  </w:style>
  <w:style w:type="paragraph" w:customStyle="1" w:styleId="default-style">
    <w:name w:val="default-style"/>
    <w:basedOn w:val="Normale"/>
    <w:rsid w:val="001F0A6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4">
    <w:name w:val="c4"/>
    <w:basedOn w:val="Normale"/>
    <w:rsid w:val="001F0A6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2915</Words>
  <Characters>15452</Characters>
  <Application>Microsoft Office Word</Application>
  <DocSecurity>0</DocSecurity>
  <Lines>230</Lines>
  <Paragraphs>20</Paragraphs>
  <ScaleCrop>false</ScaleCrop>
  <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Piero</dc:creator>
  <cp:keywords/>
  <dc:description/>
  <cp:lastModifiedBy>Piero</cp:lastModifiedBy>
  <cp:revision>2</cp:revision>
  <dcterms:created xsi:type="dcterms:W3CDTF">2023-05-02T17:27:00Z</dcterms:created>
  <dcterms:modified xsi:type="dcterms:W3CDTF">2023-05-02T17:32:00Z</dcterms:modified>
</cp:coreProperties>
</file>