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3CD0" w:rsidRDefault="00783CD0"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p>
    <w:p w:rsidR="009906A4" w:rsidRPr="009906A4" w:rsidRDefault="009906A4" w:rsidP="009906A4">
      <w:pPr>
        <w:shd w:val="clear" w:color="auto" w:fill="F1F1F1"/>
        <w:spacing w:after="0" w:line="240" w:lineRule="auto"/>
        <w:jc w:val="center"/>
        <w:textAlignment w:val="baseline"/>
        <w:rPr>
          <w:rFonts w:ascii="inherit" w:eastAsia="Times New Roman" w:hAnsi="inherit" w:cs="Noto Serif"/>
          <w:b/>
          <w:bCs/>
          <w:color w:val="0070C0"/>
          <w:sz w:val="29"/>
          <w:szCs w:val="29"/>
          <w:bdr w:val="none" w:sz="0" w:space="0" w:color="auto" w:frame="1"/>
          <w:lang w:eastAsia="it-IT"/>
        </w:rPr>
      </w:pPr>
      <w:r w:rsidRPr="009906A4">
        <w:rPr>
          <w:rFonts w:ascii="inherit" w:eastAsia="Times New Roman" w:hAnsi="inherit" w:cs="Noto Serif"/>
          <w:b/>
          <w:bCs/>
          <w:color w:val="0070C0"/>
          <w:sz w:val="29"/>
          <w:szCs w:val="29"/>
          <w:bdr w:val="none" w:sz="0" w:space="0" w:color="auto" w:frame="1"/>
          <w:lang w:eastAsia="it-IT"/>
        </w:rPr>
        <w:t>29.3. 2023</w:t>
      </w:r>
    </w:p>
    <w:p w:rsidR="009906A4" w:rsidRPr="009906A4" w:rsidRDefault="009906A4" w:rsidP="006D5722">
      <w:pPr>
        <w:shd w:val="clear" w:color="auto" w:fill="F1F1F1"/>
        <w:spacing w:after="0" w:line="240" w:lineRule="auto"/>
        <w:jc w:val="both"/>
        <w:textAlignment w:val="baseline"/>
        <w:rPr>
          <w:rFonts w:ascii="inherit" w:eastAsia="Times New Roman" w:hAnsi="inherit" w:cs="Noto Serif"/>
          <w:b/>
          <w:bCs/>
          <w:color w:val="0070C0"/>
          <w:sz w:val="29"/>
          <w:szCs w:val="29"/>
          <w:bdr w:val="none" w:sz="0" w:space="0" w:color="auto" w:frame="1"/>
          <w:lang w:eastAsia="it-IT"/>
        </w:rPr>
      </w:pPr>
    </w:p>
    <w:p w:rsidR="009906A4" w:rsidRPr="009906A4" w:rsidRDefault="009906A4" w:rsidP="009906A4">
      <w:pPr>
        <w:shd w:val="clear" w:color="auto" w:fill="F1F1F1"/>
        <w:spacing w:after="0" w:line="240" w:lineRule="auto"/>
        <w:jc w:val="center"/>
        <w:textAlignment w:val="baseline"/>
        <w:rPr>
          <w:rFonts w:ascii="inherit" w:eastAsia="Times New Roman" w:hAnsi="inherit" w:cs="Noto Serif"/>
          <w:b/>
          <w:bCs/>
          <w:color w:val="0070C0"/>
          <w:sz w:val="29"/>
          <w:szCs w:val="29"/>
          <w:bdr w:val="none" w:sz="0" w:space="0" w:color="auto" w:frame="1"/>
          <w:lang w:eastAsia="it-IT"/>
        </w:rPr>
      </w:pPr>
      <w:r w:rsidRPr="009906A4">
        <w:rPr>
          <w:rFonts w:ascii="inherit" w:eastAsia="Times New Roman" w:hAnsi="inherit" w:cs="Noto Serif"/>
          <w:b/>
          <w:bCs/>
          <w:color w:val="0070C0"/>
          <w:sz w:val="29"/>
          <w:szCs w:val="29"/>
          <w:bdr w:val="none" w:sz="0" w:space="0" w:color="auto" w:frame="1"/>
          <w:lang w:eastAsia="it-IT"/>
        </w:rPr>
        <w:t>Luca Signorelli, Cappella di San Brizio duomo di Orvieto</w:t>
      </w:r>
    </w:p>
    <w:p w:rsidR="009906A4" w:rsidRDefault="009906A4"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p>
    <w:p w:rsidR="009906A4" w:rsidRDefault="009906A4"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p>
    <w:p w:rsidR="00783CD0" w:rsidRDefault="00783CD0"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p>
    <w:p w:rsidR="00783CD0" w:rsidRDefault="00783CD0"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r>
        <w:rPr>
          <w:noProof/>
        </w:rPr>
        <w:drawing>
          <wp:inline distT="0" distB="0" distL="0" distR="0" wp14:anchorId="57C6B804" wp14:editId="689B9F6A">
            <wp:extent cx="6120130" cy="5384279"/>
            <wp:effectExtent l="0" t="0" r="0" b="6985"/>
            <wp:docPr id="19" name="Immagine 19" descr="Luca Signorelli: Storie degli ultimi gi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uca Signorelli: Storie degli ultimi gior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5384279"/>
                    </a:xfrm>
                    <a:prstGeom prst="rect">
                      <a:avLst/>
                    </a:prstGeom>
                    <a:noFill/>
                    <a:ln>
                      <a:noFill/>
                    </a:ln>
                  </pic:spPr>
                </pic:pic>
              </a:graphicData>
            </a:graphic>
          </wp:inline>
        </w:drawing>
      </w:r>
    </w:p>
    <w:p w:rsidR="00783CD0" w:rsidRDefault="00783CD0"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p>
    <w:p w:rsidR="00783CD0" w:rsidRDefault="00783CD0"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p>
    <w:p w:rsidR="00783CD0" w:rsidRDefault="00783CD0" w:rsidP="006D5722">
      <w:pPr>
        <w:shd w:val="clear" w:color="auto" w:fill="F1F1F1"/>
        <w:spacing w:after="0" w:line="240" w:lineRule="auto"/>
        <w:jc w:val="both"/>
        <w:textAlignment w:val="baseline"/>
        <w:rPr>
          <w:rFonts w:ascii="inherit" w:eastAsia="Times New Roman" w:hAnsi="inherit" w:cs="Noto Serif"/>
          <w:color w:val="0070C0"/>
          <w:sz w:val="29"/>
          <w:szCs w:val="29"/>
          <w:bdr w:val="none" w:sz="0" w:space="0" w:color="auto" w:frame="1"/>
          <w:lang w:eastAsia="it-IT"/>
        </w:rPr>
      </w:pPr>
      <w:r w:rsidRPr="003C35C7">
        <w:rPr>
          <w:rFonts w:ascii="inherit" w:eastAsia="Times New Roman" w:hAnsi="inherit" w:cs="Noto Serif"/>
          <w:color w:val="0070C0"/>
          <w:sz w:val="29"/>
          <w:szCs w:val="29"/>
          <w:bdr w:val="none" w:sz="0" w:space="0" w:color="auto" w:frame="1"/>
          <w:lang w:eastAsia="it-IT"/>
        </w:rPr>
        <w:t xml:space="preserve">È una cappella laterale rinascimentale in una chiesa tardo gotica. La scena del giudizio perde di centralità non è né sulla facciata, né nella controfacciata è laterale. Nella cappella la figura del </w:t>
      </w:r>
      <w:r w:rsidR="00130341" w:rsidRPr="003C35C7">
        <w:rPr>
          <w:rFonts w:ascii="inherit" w:eastAsia="Times New Roman" w:hAnsi="inherit" w:cs="Noto Serif"/>
          <w:color w:val="0070C0"/>
          <w:sz w:val="29"/>
          <w:szCs w:val="29"/>
          <w:bdr w:val="none" w:sz="0" w:space="0" w:color="auto" w:frame="1"/>
          <w:lang w:eastAsia="it-IT"/>
        </w:rPr>
        <w:t xml:space="preserve">Cristo morto-risorto </w:t>
      </w:r>
      <w:r w:rsidRPr="003C35C7">
        <w:rPr>
          <w:rFonts w:ascii="inherit" w:eastAsia="Times New Roman" w:hAnsi="inherit" w:cs="Noto Serif"/>
          <w:color w:val="0070C0"/>
          <w:sz w:val="29"/>
          <w:szCs w:val="29"/>
          <w:bdr w:val="none" w:sz="0" w:space="0" w:color="auto" w:frame="1"/>
          <w:lang w:eastAsia="it-IT"/>
        </w:rPr>
        <w:t xml:space="preserve">giudice, risalente alla prima fase </w:t>
      </w:r>
      <w:r w:rsidR="00826780">
        <w:rPr>
          <w:rFonts w:ascii="inherit" w:eastAsia="Times New Roman" w:hAnsi="inherit" w:cs="Noto Serif"/>
          <w:color w:val="0070C0"/>
          <w:sz w:val="29"/>
          <w:szCs w:val="29"/>
          <w:bdr w:val="none" w:sz="0" w:space="0" w:color="auto" w:frame="1"/>
          <w:lang w:eastAsia="it-IT"/>
        </w:rPr>
        <w:t xml:space="preserve">opera del Beato </w:t>
      </w:r>
      <w:r w:rsidR="00130341" w:rsidRPr="003C35C7">
        <w:rPr>
          <w:rFonts w:ascii="inherit" w:eastAsia="Times New Roman" w:hAnsi="inherit" w:cs="Noto Serif"/>
          <w:color w:val="0070C0"/>
          <w:sz w:val="29"/>
          <w:szCs w:val="29"/>
          <w:bdr w:val="none" w:sz="0" w:space="0" w:color="auto" w:frame="1"/>
          <w:lang w:eastAsia="it-IT"/>
        </w:rPr>
        <w:t xml:space="preserve">Angelico </w:t>
      </w:r>
      <w:r w:rsidR="00826780">
        <w:rPr>
          <w:rFonts w:ascii="inherit" w:eastAsia="Times New Roman" w:hAnsi="inherit" w:cs="Noto Serif"/>
          <w:color w:val="0070C0"/>
          <w:sz w:val="29"/>
          <w:szCs w:val="29"/>
          <w:bdr w:val="none" w:sz="0" w:space="0" w:color="auto" w:frame="1"/>
          <w:lang w:eastAsia="it-IT"/>
        </w:rPr>
        <w:t>(</w:t>
      </w:r>
      <w:r w:rsidR="00EF3C9B">
        <w:rPr>
          <w:rFonts w:ascii="inherit" w:eastAsia="Times New Roman" w:hAnsi="inherit" w:cs="Noto Serif"/>
          <w:color w:val="0070C0"/>
          <w:sz w:val="29"/>
          <w:szCs w:val="29"/>
          <w:bdr w:val="none" w:sz="0" w:space="0" w:color="auto" w:frame="1"/>
          <w:lang w:eastAsia="it-IT"/>
        </w:rPr>
        <w:t xml:space="preserve">Guido di Pietro, </w:t>
      </w:r>
      <w:r w:rsidR="00826780">
        <w:rPr>
          <w:rFonts w:ascii="inherit" w:eastAsia="Times New Roman" w:hAnsi="inherit" w:cs="Noto Serif"/>
          <w:color w:val="0070C0"/>
          <w:sz w:val="29"/>
          <w:szCs w:val="29"/>
          <w:bdr w:val="none" w:sz="0" w:space="0" w:color="auto" w:frame="1"/>
          <w:lang w:eastAsia="it-IT"/>
        </w:rPr>
        <w:t>1395-</w:t>
      </w:r>
      <w:r w:rsidR="00EF3C9B">
        <w:rPr>
          <w:rFonts w:ascii="inherit" w:eastAsia="Times New Roman" w:hAnsi="inherit" w:cs="Noto Serif"/>
          <w:color w:val="0070C0"/>
          <w:sz w:val="29"/>
          <w:szCs w:val="29"/>
          <w:bdr w:val="none" w:sz="0" w:space="0" w:color="auto" w:frame="1"/>
          <w:lang w:eastAsia="it-IT"/>
        </w:rPr>
        <w:t xml:space="preserve">1455) </w:t>
      </w:r>
      <w:r w:rsidR="00130341" w:rsidRPr="003C35C7">
        <w:rPr>
          <w:rFonts w:ascii="inherit" w:eastAsia="Times New Roman" w:hAnsi="inherit" w:cs="Noto Serif"/>
          <w:color w:val="0070C0"/>
          <w:sz w:val="29"/>
          <w:szCs w:val="29"/>
          <w:bdr w:val="none" w:sz="0" w:space="0" w:color="auto" w:frame="1"/>
          <w:lang w:eastAsia="it-IT"/>
        </w:rPr>
        <w:t xml:space="preserve">non è dominante. La sinistra non è girata sul dorso, </w:t>
      </w:r>
      <w:r w:rsidR="00F131DB" w:rsidRPr="003C35C7">
        <w:rPr>
          <w:rFonts w:ascii="inherit" w:eastAsia="Times New Roman" w:hAnsi="inherit" w:cs="Noto Serif"/>
          <w:color w:val="0070C0"/>
          <w:sz w:val="29"/>
          <w:szCs w:val="29"/>
          <w:bdr w:val="none" w:sz="0" w:space="0" w:color="auto" w:frame="1"/>
          <w:lang w:eastAsia="it-IT"/>
        </w:rPr>
        <w:t xml:space="preserve">né c’è il libro, c’è il mondo, </w:t>
      </w:r>
      <w:r w:rsidR="00EF3C9B" w:rsidRPr="003C35C7">
        <w:rPr>
          <w:rFonts w:ascii="inherit" w:eastAsia="Times New Roman" w:hAnsi="inherit" w:cs="Noto Serif"/>
          <w:color w:val="0070C0"/>
          <w:sz w:val="29"/>
          <w:szCs w:val="29"/>
          <w:bdr w:val="none" w:sz="0" w:space="0" w:color="auto" w:frame="1"/>
          <w:lang w:eastAsia="it-IT"/>
        </w:rPr>
        <w:t>in un</w:t>
      </w:r>
      <w:r w:rsidR="00F131DB" w:rsidRPr="003C35C7">
        <w:rPr>
          <w:rFonts w:ascii="inherit" w:eastAsia="Times New Roman" w:hAnsi="inherit" w:cs="Noto Serif"/>
          <w:color w:val="0070C0"/>
          <w:sz w:val="29"/>
          <w:szCs w:val="29"/>
          <w:bdr w:val="none" w:sz="0" w:space="0" w:color="auto" w:frame="1"/>
          <w:lang w:eastAsia="it-IT"/>
        </w:rPr>
        <w:t xml:space="preserve"> gesto che sembra più di protezione che di condanna</w:t>
      </w:r>
      <w:r w:rsidR="00EF3C9B">
        <w:rPr>
          <w:rFonts w:ascii="inherit" w:eastAsia="Times New Roman" w:hAnsi="inherit" w:cs="Noto Serif"/>
          <w:color w:val="0070C0"/>
          <w:sz w:val="29"/>
          <w:szCs w:val="29"/>
          <w:bdr w:val="none" w:sz="0" w:space="0" w:color="auto" w:frame="1"/>
          <w:lang w:eastAsia="it-IT"/>
        </w:rPr>
        <w:t>.</w:t>
      </w:r>
    </w:p>
    <w:p w:rsidR="00F17D55" w:rsidRDefault="00EF3C9B" w:rsidP="00F17D55">
      <w:pPr>
        <w:shd w:val="clear" w:color="auto" w:fill="F1F1F1"/>
        <w:spacing w:after="0" w:line="240" w:lineRule="auto"/>
        <w:textAlignment w:val="baseline"/>
        <w:rPr>
          <w:rFonts w:ascii="inherit" w:eastAsia="Times New Roman" w:hAnsi="inherit" w:cs="Noto Serif"/>
          <w:color w:val="0070C0"/>
          <w:sz w:val="29"/>
          <w:szCs w:val="29"/>
          <w:bdr w:val="none" w:sz="0" w:space="0" w:color="auto" w:frame="1"/>
          <w:lang w:eastAsia="it-IT"/>
        </w:rPr>
      </w:pPr>
      <w:r>
        <w:rPr>
          <w:rFonts w:ascii="inherit" w:eastAsia="Times New Roman" w:hAnsi="inherit" w:cs="Noto Serif"/>
          <w:color w:val="0070C0"/>
          <w:sz w:val="29"/>
          <w:szCs w:val="29"/>
          <w:bdr w:val="none" w:sz="0" w:space="0" w:color="auto" w:frame="1"/>
          <w:lang w:eastAsia="it-IT"/>
        </w:rPr>
        <w:t xml:space="preserve">I successivi affreschi di Luca Signorelli (1441-1523) sono dominati dal predominio della corporeità (per questo motivo sono il precedente più </w:t>
      </w:r>
      <w:r>
        <w:rPr>
          <w:rFonts w:ascii="inherit" w:eastAsia="Times New Roman" w:hAnsi="inherit" w:cs="Noto Serif"/>
          <w:color w:val="0070C0"/>
          <w:sz w:val="29"/>
          <w:szCs w:val="29"/>
          <w:bdr w:val="none" w:sz="0" w:space="0" w:color="auto" w:frame="1"/>
          <w:lang w:eastAsia="it-IT"/>
        </w:rPr>
        <w:lastRenderedPageBreak/>
        <w:t>preciso del Giudizio universale di Michelangelo)</w:t>
      </w:r>
      <w:r w:rsidR="00EA077C">
        <w:rPr>
          <w:rFonts w:ascii="inherit" w:eastAsia="Times New Roman" w:hAnsi="inherit" w:cs="Noto Serif"/>
          <w:color w:val="0070C0"/>
          <w:sz w:val="29"/>
          <w:szCs w:val="29"/>
          <w:bdr w:val="none" w:sz="0" w:space="0" w:color="auto" w:frame="1"/>
          <w:lang w:eastAsia="it-IT"/>
        </w:rPr>
        <w:t xml:space="preserve">. La resurrezione della carne </w:t>
      </w:r>
      <w:r w:rsidR="00F17D55">
        <w:rPr>
          <w:rFonts w:ascii="inherit" w:eastAsia="Times New Roman" w:hAnsi="inherit" w:cs="Noto Serif"/>
          <w:color w:val="0070C0"/>
          <w:sz w:val="29"/>
          <w:szCs w:val="29"/>
          <w:bdr w:val="none" w:sz="0" w:space="0" w:color="auto" w:frame="1"/>
          <w:lang w:eastAsia="it-IT"/>
        </w:rPr>
        <w:t>diviene perciò il punto focale di tutta la rappresentazione da cui conseguono gli altri due affreschi dedicati all’inferno e all’ascesa verso il paradiso che conserva un sottofondo molto edenico. I primi due affreschi risentono poco dell’articolazione destra-sinistra. Sulla destra c’è la predica e la sconfitta dell’Anticristo tema unico nell’iconografia.</w:t>
      </w:r>
    </w:p>
    <w:p w:rsidR="00F17D55" w:rsidRDefault="00F17D55" w:rsidP="00F17D55">
      <w:pPr>
        <w:shd w:val="clear" w:color="auto" w:fill="F1F1F1"/>
        <w:spacing w:after="0" w:line="240" w:lineRule="auto"/>
        <w:textAlignment w:val="baseline"/>
        <w:rPr>
          <w:rFonts w:ascii="inherit" w:eastAsia="Times New Roman" w:hAnsi="inherit" w:cs="Noto Serif"/>
          <w:color w:val="0070C0"/>
          <w:sz w:val="29"/>
          <w:szCs w:val="29"/>
          <w:bdr w:val="none" w:sz="0" w:space="0" w:color="auto" w:frame="1"/>
          <w:lang w:eastAsia="it-IT"/>
        </w:rPr>
      </w:pPr>
    </w:p>
    <w:p w:rsidR="00F17D55" w:rsidRDefault="00F17D55" w:rsidP="00F17D55">
      <w:pPr>
        <w:shd w:val="clear" w:color="auto" w:fill="F1F1F1"/>
        <w:spacing w:after="0" w:line="240" w:lineRule="auto"/>
        <w:textAlignment w:val="baseline"/>
        <w:rPr>
          <w:rFonts w:ascii="inherit" w:eastAsia="Times New Roman" w:hAnsi="inherit" w:cs="Noto Serif"/>
          <w:color w:val="0070C0"/>
          <w:sz w:val="29"/>
          <w:szCs w:val="29"/>
          <w:bdr w:val="none" w:sz="0" w:space="0" w:color="auto" w:frame="1"/>
          <w:lang w:eastAsia="it-IT"/>
        </w:rPr>
      </w:pPr>
    </w:p>
    <w:p w:rsidR="00F17D55" w:rsidRDefault="00F17D55" w:rsidP="00F17D55">
      <w:pPr>
        <w:shd w:val="clear" w:color="auto" w:fill="F1F1F1"/>
        <w:spacing w:after="0" w:line="240" w:lineRule="auto"/>
        <w:textAlignment w:val="baseline"/>
        <w:rPr>
          <w:rFonts w:ascii="inherit" w:eastAsia="Times New Roman" w:hAnsi="inherit" w:cs="Noto Serif"/>
          <w:color w:val="0070C0"/>
          <w:sz w:val="29"/>
          <w:szCs w:val="29"/>
          <w:bdr w:val="none" w:sz="0" w:space="0" w:color="auto" w:frame="1"/>
          <w:lang w:eastAsia="it-IT"/>
        </w:rPr>
      </w:pPr>
    </w:p>
    <w:p w:rsidR="00F17D55" w:rsidRDefault="00F17D55" w:rsidP="00F17D55">
      <w:pPr>
        <w:shd w:val="clear" w:color="auto" w:fill="F1F1F1"/>
        <w:spacing w:after="0" w:line="240" w:lineRule="auto"/>
        <w:textAlignment w:val="baseline"/>
        <w:rPr>
          <w:rFonts w:ascii="inherit" w:eastAsia="Times New Roman" w:hAnsi="inherit" w:cs="Noto Serif"/>
          <w:color w:val="0070C0"/>
          <w:sz w:val="29"/>
          <w:szCs w:val="29"/>
          <w:bdr w:val="none" w:sz="0" w:space="0" w:color="auto" w:frame="1"/>
          <w:lang w:eastAsia="it-IT"/>
        </w:rPr>
      </w:pPr>
    </w:p>
    <w:p w:rsidR="00783CD0" w:rsidRDefault="00F17D55" w:rsidP="00F17D55">
      <w:pPr>
        <w:shd w:val="clear" w:color="auto" w:fill="F1F1F1"/>
        <w:spacing w:after="0" w:line="240" w:lineRule="auto"/>
        <w:textAlignment w:val="baseline"/>
        <w:rPr>
          <w:rFonts w:ascii="inherit" w:eastAsia="Times New Roman" w:hAnsi="inherit" w:cs="Noto Serif"/>
          <w:color w:val="333333"/>
          <w:sz w:val="29"/>
          <w:szCs w:val="29"/>
          <w:bdr w:val="none" w:sz="0" w:space="0" w:color="auto" w:frame="1"/>
          <w:lang w:eastAsia="it-IT"/>
        </w:rPr>
      </w:pPr>
      <w:r>
        <w:rPr>
          <w:rFonts w:ascii="inherit" w:eastAsia="Times New Roman" w:hAnsi="inherit" w:cs="Noto Serif"/>
          <w:color w:val="0070C0"/>
          <w:sz w:val="29"/>
          <w:szCs w:val="29"/>
          <w:bdr w:val="none" w:sz="0" w:space="0" w:color="auto" w:frame="1"/>
          <w:lang w:eastAsia="it-IT"/>
        </w:rPr>
        <w:t>cl</w:t>
      </w:r>
      <w:r w:rsidR="00130341">
        <w:rPr>
          <w:noProof/>
        </w:rPr>
        <w:drawing>
          <wp:inline distT="0" distB="0" distL="0" distR="0" wp14:anchorId="2FA58327" wp14:editId="0C0F85F0">
            <wp:extent cx="3590925" cy="3752850"/>
            <wp:effectExtent l="0" t="0" r="9525" b="0"/>
            <wp:docPr id="20" name="Immagine 20" descr="Pin on Catholic and P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n on Catholic and Prou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3752850"/>
                    </a:xfrm>
                    <a:prstGeom prst="rect">
                      <a:avLst/>
                    </a:prstGeom>
                    <a:noFill/>
                    <a:ln>
                      <a:noFill/>
                    </a:ln>
                  </pic:spPr>
                </pic:pic>
              </a:graphicData>
            </a:graphic>
          </wp:inline>
        </w:drawing>
      </w:r>
    </w:p>
    <w:p w:rsidR="00783CD0" w:rsidRDefault="00783CD0"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p>
    <w:p w:rsidR="00783CD0" w:rsidRDefault="00783CD0" w:rsidP="006D5722">
      <w:pPr>
        <w:shd w:val="clear" w:color="auto" w:fill="F1F1F1"/>
        <w:spacing w:after="0" w:line="240" w:lineRule="auto"/>
        <w:jc w:val="both"/>
        <w:textAlignment w:val="baseline"/>
        <w:rPr>
          <w:rFonts w:ascii="inherit" w:eastAsia="Times New Roman" w:hAnsi="inherit" w:cs="Noto Serif"/>
          <w:color w:val="333333"/>
          <w:sz w:val="29"/>
          <w:szCs w:val="29"/>
          <w:bdr w:val="none" w:sz="0" w:space="0" w:color="auto" w:frame="1"/>
          <w:lang w:eastAsia="it-IT"/>
        </w:rPr>
      </w:pP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b/>
          <w:bCs/>
          <w:color w:val="0070C0"/>
          <w:sz w:val="29"/>
          <w:szCs w:val="29"/>
          <w:bdr w:val="none" w:sz="0" w:space="0" w:color="auto" w:frame="1"/>
          <w:lang w:eastAsia="it-IT"/>
        </w:rPr>
        <w:t>La cappella di San Brizio</w:t>
      </w:r>
      <w:r w:rsidR="00783CD0">
        <w:rPr>
          <w:rFonts w:ascii="inherit" w:eastAsia="Times New Roman" w:hAnsi="inherit" w:cs="Noto Serif"/>
          <w:b/>
          <w:bCs/>
          <w:color w:val="0070C0"/>
          <w:sz w:val="29"/>
          <w:szCs w:val="29"/>
          <w:bdr w:val="none" w:sz="0" w:space="0" w:color="auto" w:frame="1"/>
          <w:lang w:eastAsia="it-IT"/>
        </w:rPr>
        <w:t xml:space="preserve"> Duomo di Orvieto </w:t>
      </w:r>
      <w:r w:rsidRPr="006D5722">
        <w:rPr>
          <w:rFonts w:ascii="inherit" w:eastAsia="Times New Roman" w:hAnsi="inherit" w:cs="Noto Serif"/>
          <w:color w:val="0070C0"/>
          <w:sz w:val="29"/>
          <w:szCs w:val="29"/>
          <w:bdr w:val="none" w:sz="0" w:space="0" w:color="auto" w:frame="1"/>
          <w:lang w:eastAsia="it-IT"/>
        </w:rPr>
        <w:t> </w:t>
      </w:r>
      <w:r w:rsidRPr="006D5722">
        <w:rPr>
          <w:rFonts w:ascii="inherit" w:eastAsia="Times New Roman" w:hAnsi="inherit" w:cs="Noto Serif"/>
          <w:color w:val="333333"/>
          <w:sz w:val="29"/>
          <w:szCs w:val="29"/>
          <w:bdr w:val="none" w:sz="0" w:space="0" w:color="auto" w:frame="1"/>
          <w:lang w:eastAsia="it-IT"/>
        </w:rPr>
        <w:t>per la singolarità tematica, per l’originalità spaziale e volumetrica, nonché iconografica viene considerata dagli studiosi di Storia dell’arte come un “unicum” nell’arte [Touring, cit., pag. 596].</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L’edificazione della cappella nel Duomo fu iniziata nel 1396 in seguito al lascito testamentario di Tommaso di Micheluccio di Orvieto, in cui esprimeva il desiderio che si creasse una cappella dedicata alla Vergine Incoronata. Il lavoro fu portato a termine 1444[Touring, cit., pag. 596].</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xml:space="preserve">L’Opera del Duomo deliberò la realizzazione del ciclo pittorico nella nuova cappella assegnandolo a Beato Angelico, che in quello specifico periodo </w:t>
      </w:r>
      <w:r w:rsidRPr="006D5722">
        <w:rPr>
          <w:rFonts w:ascii="inherit" w:eastAsia="Times New Roman" w:hAnsi="inherit" w:cs="Noto Serif"/>
          <w:color w:val="333333"/>
          <w:sz w:val="29"/>
          <w:szCs w:val="29"/>
          <w:lang w:eastAsia="it-IT"/>
        </w:rPr>
        <w:lastRenderedPageBreak/>
        <w:t xml:space="preserve">soggiornava a Roma, alla </w:t>
      </w:r>
      <w:r w:rsidRPr="006D5722">
        <w:rPr>
          <w:rFonts w:ascii="inherit" w:eastAsia="Times New Roman" w:hAnsi="inherit" w:cs="Noto Serif"/>
          <w:color w:val="333333"/>
          <w:sz w:val="29"/>
          <w:szCs w:val="29"/>
          <w:lang w:eastAsia="it-IT"/>
        </w:rPr>
        <w:t>decorazione della</w:t>
      </w:r>
      <w:r w:rsidRPr="006D5722">
        <w:rPr>
          <w:rFonts w:ascii="inherit" w:eastAsia="Times New Roman" w:hAnsi="inherit" w:cs="Noto Serif"/>
          <w:color w:val="333333"/>
          <w:sz w:val="29"/>
          <w:szCs w:val="29"/>
          <w:lang w:eastAsia="it-IT"/>
        </w:rPr>
        <w:t xml:space="preserve"> Cappella Niccolina al servizio di papa Niccolò V (Sarzana, 1397 – Roma, 1455).</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xml:space="preserve">Il frate pittore, che aveva </w:t>
      </w:r>
      <w:r w:rsidRPr="006D5722">
        <w:rPr>
          <w:rFonts w:ascii="inherit" w:eastAsia="Times New Roman" w:hAnsi="inherit" w:cs="Noto Serif"/>
          <w:color w:val="333333"/>
          <w:sz w:val="29"/>
          <w:szCs w:val="29"/>
          <w:lang w:eastAsia="it-IT"/>
        </w:rPr>
        <w:t>già avuto</w:t>
      </w:r>
      <w:r w:rsidRPr="006D5722">
        <w:rPr>
          <w:rFonts w:ascii="inherit" w:eastAsia="Times New Roman" w:hAnsi="inherit" w:cs="Noto Serif"/>
          <w:color w:val="333333"/>
          <w:sz w:val="29"/>
          <w:szCs w:val="29"/>
          <w:lang w:eastAsia="it-IT"/>
        </w:rPr>
        <w:t xml:space="preserve"> degli incontri l’anno precedente con Francesco Baroni, il maestro vetraio del Duomo di Orvieto, approfittò dell’occasione che gli permise, tra l’altro, di evitare la forte calura estiva romana, allontanandosi dalla capitale, per l’appunto, nel mese di giugno.</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Con lui si spostò anche Benozzo Gozzoli, Giacomo de Poli e Giovanni Antonio da Firenze, ai quali si aggiunse in seguito Pietro di Nicola Baroni [Touring, cit., pag. 597].</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Sembrerebbe che il tema relativo al Giudizio Universale fosse stato scelto con la consulenza di Beato Angelico, che oltretutto era un frate assai colto e ben preparato in teologia [Touring, cit., pag. 597].</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Nel Duomo l’artista rimase per una quindicina di settimane, affrescando due delle grandissime vele della campata soprastante l’altare con le raffigurazioni del “Cristo Giudice tra angeli” e dei “Profeti”.</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Per gli studiosi di Storia dell’arte tre-quattro mesi di lavoro per il completamento di una stesura pittorica di tale portata risulterebbero insufficienti; è verosimile perciò che l’autografia del maestro sia alquanto limitata [Pope-Hennessy, cit., pag. 68].</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xml:space="preserve">Nel settembre 1447 l’Angelico e la sua cerchia di assistenti lasciavano </w:t>
      </w:r>
      <w:r>
        <w:rPr>
          <w:rFonts w:ascii="inherit" w:eastAsia="Times New Roman" w:hAnsi="inherit" w:cs="Noto Serif"/>
          <w:color w:val="333333"/>
          <w:sz w:val="29"/>
          <w:szCs w:val="29"/>
          <w:lang w:eastAsia="it-IT"/>
        </w:rPr>
        <w:t>Orvieto</w:t>
      </w:r>
      <w:r w:rsidRPr="006D5722">
        <w:rPr>
          <w:rFonts w:ascii="inherit" w:eastAsia="Times New Roman" w:hAnsi="inherit" w:cs="Noto Serif"/>
          <w:color w:val="333333"/>
          <w:sz w:val="29"/>
          <w:szCs w:val="29"/>
          <w:lang w:eastAsia="it-IT"/>
        </w:rPr>
        <w:t>, forse con l’intento di ritornarvi l’anno dopo. Questo non avvenne e nel 1449 il contratto era già stato annullato, come dimostrerebbe il fatto che il Gozzoli, trovandosi nella capitale per tutta la seconda metà di quell’anno, ormai affrancatosi dal suo maestro, tentò inutilmente di farsi riassegnare l’importante incarico [Pope-Hennessy, cit., pag. 69], che restò in sospeso per una quarantina d’anni.</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Nel 1455 a causa di infiltrazioni d’acqua nelle volte venne rialzato il tetto</w:t>
      </w:r>
      <w:r>
        <w:rPr>
          <w:rFonts w:ascii="inherit" w:eastAsia="Times New Roman" w:hAnsi="inherit" w:cs="Noto Serif"/>
          <w:color w:val="333333"/>
          <w:sz w:val="29"/>
          <w:szCs w:val="29"/>
          <w:lang w:eastAsia="it-IT"/>
        </w:rPr>
        <w:t xml:space="preserve"> </w:t>
      </w:r>
      <w:r w:rsidRPr="006D5722">
        <w:rPr>
          <w:rFonts w:ascii="inherit" w:eastAsia="Times New Roman" w:hAnsi="inherit" w:cs="Noto Serif"/>
          <w:color w:val="333333"/>
          <w:sz w:val="29"/>
          <w:szCs w:val="29"/>
          <w:lang w:eastAsia="it-IT"/>
        </w:rPr>
        <w:t>[Touring, cit., pag. 596].</w:t>
      </w:r>
    </w:p>
    <w:p w:rsidR="006D5722" w:rsidRPr="006D5722" w:rsidRDefault="006D5722" w:rsidP="006D5722">
      <w:pPr>
        <w:shd w:val="clear" w:color="auto" w:fill="F1F1F1"/>
        <w:spacing w:before="480" w:after="240" w:line="240" w:lineRule="auto"/>
        <w:jc w:val="both"/>
        <w:textAlignment w:val="baseline"/>
        <w:outlineLvl w:val="1"/>
        <w:rPr>
          <w:rFonts w:ascii="inherit" w:eastAsia="Times New Roman" w:hAnsi="inherit" w:cs="Noto Serif"/>
          <w:b/>
          <w:bCs/>
          <w:color w:val="333333"/>
          <w:sz w:val="36"/>
          <w:szCs w:val="36"/>
          <w:lang w:eastAsia="it-IT"/>
        </w:rPr>
      </w:pPr>
      <w:r w:rsidRPr="006D5722">
        <w:rPr>
          <w:rFonts w:ascii="inherit" w:eastAsia="Times New Roman" w:hAnsi="inherit" w:cs="Noto Serif"/>
          <w:b/>
          <w:bCs/>
          <w:color w:val="333333"/>
          <w:sz w:val="36"/>
          <w:szCs w:val="36"/>
          <w:lang w:eastAsia="it-IT"/>
        </w:rPr>
        <w:t>Entrata in scena del Signorelli</w:t>
      </w: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Prima di scegliere il Signorelli (5 aprile 1499) l’Opera del duomo cercò di accordarsi con il viterbese </w:t>
      </w:r>
      <w:hyperlink r:id="rId8" w:history="1">
        <w:r w:rsidRPr="006D5722">
          <w:rPr>
            <w:rFonts w:ascii="inherit" w:eastAsia="Times New Roman" w:hAnsi="inherit" w:cs="Noto Serif"/>
            <w:color w:val="333333"/>
            <w:sz w:val="29"/>
            <w:szCs w:val="29"/>
            <w:bdr w:val="none" w:sz="0" w:space="0" w:color="auto" w:frame="1"/>
            <w:lang w:eastAsia="it-IT"/>
          </w:rPr>
          <w:t>Antonio del Massaro</w:t>
        </w:r>
      </w:hyperlink>
      <w:r w:rsidRPr="006D5722">
        <w:rPr>
          <w:rFonts w:ascii="inherit" w:eastAsia="Times New Roman" w:hAnsi="inherit" w:cs="Noto Serif"/>
          <w:color w:val="333333"/>
          <w:sz w:val="29"/>
          <w:szCs w:val="29"/>
          <w:lang w:eastAsia="it-IT"/>
        </w:rPr>
        <w:t xml:space="preserve">(Viterbo, ca. 1450 – Viterbo, </w:t>
      </w:r>
      <w:r w:rsidRPr="006D5722">
        <w:rPr>
          <w:rFonts w:ascii="inherit" w:eastAsia="Times New Roman" w:hAnsi="inherit" w:cs="Noto Serif"/>
          <w:color w:val="333333"/>
          <w:sz w:val="29"/>
          <w:szCs w:val="29"/>
          <w:lang w:eastAsia="it-IT"/>
        </w:rPr>
        <w:lastRenderedPageBreak/>
        <w:t>prima del 1516) detto il Pastura e soprattutto, per circa un decennio, con </w:t>
      </w:r>
      <w:hyperlink r:id="rId9" w:history="1">
        <w:r w:rsidRPr="006D5722">
          <w:rPr>
            <w:rFonts w:ascii="inherit" w:eastAsia="Times New Roman" w:hAnsi="inherit" w:cs="Noto Serif"/>
            <w:color w:val="333333"/>
            <w:sz w:val="29"/>
            <w:szCs w:val="29"/>
            <w:bdr w:val="none" w:sz="0" w:space="0" w:color="auto" w:frame="1"/>
            <w:lang w:eastAsia="it-IT"/>
          </w:rPr>
          <w:t>Pietro Perugino</w:t>
        </w:r>
      </w:hyperlink>
      <w:r w:rsidRPr="006D5722">
        <w:rPr>
          <w:rFonts w:ascii="inherit" w:eastAsia="Times New Roman" w:hAnsi="inherit" w:cs="Noto Serif"/>
          <w:color w:val="333333"/>
          <w:sz w:val="29"/>
          <w:szCs w:val="29"/>
          <w:lang w:eastAsia="it-IT"/>
        </w:rPr>
        <w:t> le cui prestazioni venivano però considerate troppo elevate [Touring, cit., pag. 597].</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Il pittore cortonese</w:t>
      </w:r>
      <w:r w:rsidR="00AC3F1A">
        <w:rPr>
          <w:rFonts w:ascii="inherit" w:eastAsia="Times New Roman" w:hAnsi="inherit" w:cs="Noto Serif"/>
          <w:color w:val="333333"/>
          <w:sz w:val="29"/>
          <w:szCs w:val="29"/>
          <w:lang w:eastAsia="it-IT"/>
        </w:rPr>
        <w:t xml:space="preserve"> [Signorelli]</w:t>
      </w:r>
      <w:r w:rsidRPr="006D5722">
        <w:rPr>
          <w:rFonts w:ascii="inherit" w:eastAsia="Times New Roman" w:hAnsi="inherit" w:cs="Noto Serif"/>
          <w:color w:val="333333"/>
          <w:sz w:val="29"/>
          <w:szCs w:val="29"/>
          <w:lang w:eastAsia="it-IT"/>
        </w:rPr>
        <w:t xml:space="preserve"> – che in quel periodo stava evadendo delle committenze tra Toscana, Umbria e Marche – accettò l’importante incarico.</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Dalle ricche documentazioni [pubblicate da Luzi nel 1866 e da Fumi nel 1891] si ricava che la scelta ricadde sul Signorelli non solo per motivi economici – il costo finale era molto più basso di quello del Perugino – ma anche per la celebrità, ormai consolidata, di pittore efficiente, attento e rapido [Paolucci, cit., pag. 288].</w:t>
      </w:r>
    </w:p>
    <w:p w:rsidR="006D5722" w:rsidRPr="006D5722" w:rsidRDefault="006D5722" w:rsidP="006D5722">
      <w:pPr>
        <w:shd w:val="clear" w:color="auto" w:fill="F1F1F1"/>
        <w:spacing w:before="569" w:after="284" w:line="240" w:lineRule="auto"/>
        <w:jc w:val="both"/>
        <w:textAlignment w:val="baseline"/>
        <w:outlineLvl w:val="2"/>
        <w:rPr>
          <w:rFonts w:ascii="inherit" w:eastAsia="Times New Roman" w:hAnsi="inherit" w:cs="Noto Serif"/>
          <w:b/>
          <w:bCs/>
          <w:color w:val="333333"/>
          <w:sz w:val="27"/>
          <w:szCs w:val="27"/>
          <w:lang w:eastAsia="it-IT"/>
        </w:rPr>
      </w:pPr>
      <w:r w:rsidRPr="006D5722">
        <w:rPr>
          <w:rFonts w:ascii="inherit" w:eastAsia="Times New Roman" w:hAnsi="inherit" w:cs="Noto Serif"/>
          <w:b/>
          <w:bCs/>
          <w:color w:val="333333"/>
          <w:sz w:val="27"/>
          <w:szCs w:val="27"/>
          <w:lang w:eastAsia="it-IT"/>
        </w:rPr>
        <w:t>Il contratto</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Il contratto venne rispettato dal Signorelli con solerzia: infatti l’anno successivo, il 23 aprile 1500, gli affreschi delle volte erano già stati portati a compimento e il pittore aveva già i disegni pronti per lo svolgimento delle altre tematiche – “dalle volte in giù” – che gli vennero confermate qualche giorno dopo per la somma di 575 ducati [Touring, cit., pag. 597].</w:t>
      </w:r>
    </w:p>
    <w:p w:rsidR="006D5722" w:rsidRPr="006D5722" w:rsidRDefault="006D5722" w:rsidP="006D5722">
      <w:pPr>
        <w:shd w:val="clear" w:color="auto" w:fill="F1F1F1"/>
        <w:spacing w:before="569" w:after="284" w:line="240" w:lineRule="auto"/>
        <w:jc w:val="both"/>
        <w:textAlignment w:val="baseline"/>
        <w:outlineLvl w:val="2"/>
        <w:rPr>
          <w:rFonts w:ascii="inherit" w:eastAsia="Times New Roman" w:hAnsi="inherit" w:cs="Noto Serif"/>
          <w:b/>
          <w:bCs/>
          <w:color w:val="333333"/>
          <w:sz w:val="27"/>
          <w:szCs w:val="27"/>
          <w:lang w:eastAsia="it-IT"/>
        </w:rPr>
      </w:pPr>
      <w:r w:rsidRPr="006D5722">
        <w:rPr>
          <w:rFonts w:ascii="inherit" w:eastAsia="Times New Roman" w:hAnsi="inherit" w:cs="Noto Serif"/>
          <w:b/>
          <w:bCs/>
          <w:color w:val="333333"/>
          <w:sz w:val="27"/>
          <w:szCs w:val="27"/>
          <w:lang w:eastAsia="it-IT"/>
        </w:rPr>
        <w:t>Mantenimento del tema</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Il tema del Giudizio, scelto in precedenza dall’opera del Duomo con il consiglio dell’Angelico, fu mantenuto sugli impulsi dei turbamenti politici di quel particolare momento, che già sconvolgevano la regione dai primi anni Novanta, e dei cattivi presagi sull’avvicinarsi del nuovo secolo, che coincideva con la metà del secondo millennio [De Vecchi-Cerchiari, cit., pag. 157].</w:t>
      </w:r>
    </w:p>
    <w:p w:rsidR="006D5722" w:rsidRPr="006D5722" w:rsidRDefault="006D5722" w:rsidP="006D5722">
      <w:pPr>
        <w:shd w:val="clear" w:color="auto" w:fill="F1F1F1"/>
        <w:spacing w:before="480" w:after="240" w:line="240" w:lineRule="auto"/>
        <w:jc w:val="both"/>
        <w:textAlignment w:val="baseline"/>
        <w:outlineLvl w:val="1"/>
        <w:rPr>
          <w:rFonts w:ascii="inherit" w:eastAsia="Times New Roman" w:hAnsi="inherit" w:cs="Noto Serif"/>
          <w:b/>
          <w:bCs/>
          <w:color w:val="333333"/>
          <w:sz w:val="36"/>
          <w:szCs w:val="36"/>
          <w:lang w:eastAsia="it-IT"/>
        </w:rPr>
      </w:pPr>
      <w:r w:rsidRPr="006D5722">
        <w:rPr>
          <w:rFonts w:ascii="inherit" w:eastAsia="Times New Roman" w:hAnsi="inherit" w:cs="Noto Serif"/>
          <w:b/>
          <w:bCs/>
          <w:color w:val="333333"/>
          <w:sz w:val="36"/>
          <w:szCs w:val="36"/>
          <w:lang w:eastAsia="it-IT"/>
        </w:rPr>
        <w:t>Gli affreschi</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Le decorazioni interessano le volte e le pareti: nelle prime sono articolate in vele su fondo oro, separate da costoloni con ornamenti vegetali e attorniate da cornici di gusto classicheggiante, con fasce i cui toni generali, tendenti al rosso, fanno da sfondo confrontandosi con elementi tratti dalla miniatura, intervallati da forme esagonali con testine [Touring, cit., pag. 597].</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Le pareti ospitano raffigurazioni con grosse lunette nella zona alta, inquadrati dalla simulazione di grandi archi e cassettoni con rosette in rilievo.</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lastRenderedPageBreak/>
        <w:t>Questi, con profondità prospettica simulata di due metri circa, permettono un’ampia visualità alla base delle composizioni conferendo alle figure un’efficacissima plasticità ed un</w:t>
      </w:r>
      <w:r w:rsidR="00AC3F1A">
        <w:rPr>
          <w:rFonts w:ascii="inherit" w:eastAsia="Times New Roman" w:hAnsi="inherit" w:cs="Noto Serif"/>
          <w:color w:val="333333"/>
          <w:sz w:val="29"/>
          <w:szCs w:val="29"/>
          <w:lang w:eastAsia="it-IT"/>
        </w:rPr>
        <w:t xml:space="preserve"> </w:t>
      </w:r>
      <w:r w:rsidRPr="006D5722">
        <w:rPr>
          <w:rFonts w:ascii="inherit" w:eastAsia="Times New Roman" w:hAnsi="inherit" w:cs="Noto Serif"/>
          <w:color w:val="333333"/>
          <w:sz w:val="29"/>
          <w:szCs w:val="29"/>
          <w:lang w:eastAsia="it-IT"/>
        </w:rPr>
        <w:t>eccezionale stacco, come se stessero uscendo dai riquadri.</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Trattasi di un’eccezionale struttura compositiva che, sebbene non sia stata realizzata per il punto di vista del fruitore “a pavimento” (soprattutto quella dell’Angelico), riesce a cambiare l’aspetto dell’architettura gotica in un interno di gusto rinascimentale, equiparandone le dimensioni.</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Tutte le luci provengono da un’unica direzione, corrispondente alla posizione delle finestre della parete di fondo, e le ombre vengono quindi generate in un medesimo verso [Touring, cit., pag. 598].</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xml:space="preserve">Gli episodi raffigurati sono (si veda, soprattutto, la tabella riportata in fondo alla pagina): la </w:t>
      </w:r>
      <w:r w:rsidRPr="006D5722">
        <w:rPr>
          <w:rFonts w:ascii="inherit" w:eastAsia="Times New Roman" w:hAnsi="inherit" w:cs="Noto Serif"/>
          <w:b/>
          <w:bCs/>
          <w:color w:val="0070C0"/>
          <w:sz w:val="29"/>
          <w:szCs w:val="29"/>
          <w:lang w:eastAsia="it-IT"/>
        </w:rPr>
        <w:t>“Predica e fatti dell’Anticristo”, il “Finimondo”, la “Resurrezione della carne”, i “Dannati”, i “Beati”, il “Paradiso”, l’“Inferno.</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Sotto ai riquadri corre una fascia inferiore ritmata da colonnato di paraste – simulato – che regge una  finta trabeazione con un sontuoso fregio a grottesche contro un fondo aureo.</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La zoccolatura della parete è dipinta a lastre che ricordano rilievi di antichi sarcofagi romani, distanziate dalle basi delle paraste. I riquadri sono ornati con motivi a grottesche ove sono inseriti, nella zona centrale, ritratti di personaggi celebri, scrittori, e poeti.</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Molti di questi ritratti sono stati ripresi, sembrerebbe, in modo da creare confusione all’occhio del fruitore, mentre sfogliano libri che appaiono fuori dal davanzale visto in scorcio [Touring, cit., pag. 598 ].</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A ridosso di alcune di queste personalità appaiono dei medaglioni in grisaille con la didascalia, o l’illustrazione, della rispettiva opera, come quella della Divina Commedia.</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xml:space="preserve">A completamento della figurazione, negli sguanci delle finestre, appaiono gli arcangeli Raffaele con Tobiolo e Gabriele (raffigurati sulla destra), Michele che cerca di respingere un demone mentre sta pesando le anime (sulla sinistra) e i santi vescovi Costanzo e Brizio, protettori della città (al centro), mentre nella </w:t>
      </w:r>
      <w:r w:rsidRPr="006D5722">
        <w:rPr>
          <w:rFonts w:ascii="inherit" w:eastAsia="Times New Roman" w:hAnsi="inherit" w:cs="Noto Serif"/>
          <w:color w:val="333333"/>
          <w:sz w:val="29"/>
          <w:szCs w:val="29"/>
          <w:lang w:eastAsia="it-IT"/>
        </w:rPr>
        <w:lastRenderedPageBreak/>
        <w:t>piccola cappella incavata in uno spessore della parete è rappresentato un “Compianto sul Cristo morto tra i santi Parenzo e Faustino”.</w:t>
      </w:r>
    </w:p>
    <w:p w:rsidR="006D5722" w:rsidRPr="006D5722" w:rsidRDefault="006D5722" w:rsidP="006D5722">
      <w:pPr>
        <w:shd w:val="clear" w:color="auto" w:fill="F1F1F1"/>
        <w:spacing w:before="569" w:after="284" w:line="240" w:lineRule="auto"/>
        <w:jc w:val="both"/>
        <w:textAlignment w:val="baseline"/>
        <w:outlineLvl w:val="2"/>
        <w:rPr>
          <w:rFonts w:ascii="inherit" w:eastAsia="Times New Roman" w:hAnsi="inherit" w:cs="Noto Serif"/>
          <w:b/>
          <w:bCs/>
          <w:color w:val="333333"/>
          <w:sz w:val="27"/>
          <w:szCs w:val="27"/>
          <w:lang w:eastAsia="it-IT"/>
        </w:rPr>
      </w:pPr>
      <w:r w:rsidRPr="006D5722">
        <w:rPr>
          <w:rFonts w:ascii="inherit" w:eastAsia="Times New Roman" w:hAnsi="inherit" w:cs="Noto Serif"/>
          <w:b/>
          <w:bCs/>
          <w:color w:val="333333"/>
          <w:sz w:val="27"/>
          <w:szCs w:val="27"/>
          <w:lang w:eastAsia="it-IT"/>
        </w:rPr>
        <w:t>Le vele delle volte</w:t>
      </w: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bdr w:val="none" w:sz="0" w:space="0" w:color="auto" w:frame="1"/>
          <w:lang w:eastAsia="it-IT"/>
        </w:rPr>
        <w:t>La volta</w:t>
      </w:r>
      <w:r w:rsidRPr="006D5722">
        <w:rPr>
          <w:rFonts w:ascii="inherit" w:eastAsia="Times New Roman" w:hAnsi="inherit" w:cs="Noto Serif"/>
          <w:color w:val="333333"/>
          <w:sz w:val="29"/>
          <w:szCs w:val="29"/>
          <w:lang w:eastAsia="it-IT"/>
        </w:rPr>
        <w:t> è suddivisa in otto parti (vele), intervallate da fasce decorate con motivi vegetali. Sono dell’equipe dell’Angelico quella soprastante l’altare con </w:t>
      </w:r>
      <w:hyperlink r:id="rId10" w:history="1">
        <w:r w:rsidRPr="006D5722">
          <w:rPr>
            <w:rFonts w:ascii="inherit" w:eastAsia="Times New Roman" w:hAnsi="inherit" w:cs="Noto Serif"/>
            <w:color w:val="333333"/>
            <w:sz w:val="29"/>
            <w:szCs w:val="29"/>
            <w:bdr w:val="none" w:sz="0" w:space="0" w:color="auto" w:frame="1"/>
            <w:lang w:eastAsia="it-IT"/>
          </w:rPr>
          <w:t>“Cristo giudice tra angeli”</w:t>
        </w:r>
      </w:hyperlink>
      <w:r w:rsidRPr="006D5722">
        <w:rPr>
          <w:rFonts w:ascii="inherit" w:eastAsia="Times New Roman" w:hAnsi="inherit" w:cs="Noto Serif"/>
          <w:color w:val="333333"/>
          <w:sz w:val="29"/>
          <w:szCs w:val="29"/>
          <w:lang w:eastAsia="it-IT"/>
        </w:rPr>
        <w:t> e quella affiancata, a destra, con </w:t>
      </w:r>
      <w:hyperlink r:id="rId11" w:history="1">
        <w:r w:rsidRPr="006D5722">
          <w:rPr>
            <w:rFonts w:ascii="inherit" w:eastAsia="Times New Roman" w:hAnsi="inherit" w:cs="Noto Serif"/>
            <w:color w:val="333333"/>
            <w:sz w:val="29"/>
            <w:szCs w:val="29"/>
            <w:bdr w:val="none" w:sz="0" w:space="0" w:color="auto" w:frame="1"/>
            <w:lang w:eastAsia="it-IT"/>
          </w:rPr>
          <w:t>“Sedici profeti”</w:t>
        </w:r>
      </w:hyperlink>
      <w:r w:rsidRPr="006D5722">
        <w:rPr>
          <w:rFonts w:ascii="inherit" w:eastAsia="Times New Roman" w:hAnsi="inherit" w:cs="Noto Serif"/>
          <w:color w:val="333333"/>
          <w:sz w:val="29"/>
          <w:szCs w:val="29"/>
          <w:lang w:eastAsia="it-IT"/>
        </w:rPr>
        <w:t>. In particolare sono considerate autografe del frate pittore la figura, alquanto rovinata, del Cristo, un gruppo di angeli e qualche profeta seduto [Pope-Hennessy, cit., pag. 68]. A parte qualche altra pittura, come le bordure decorative con testine (Gozzoli) e di aiutanti dell’Angelico, tutte le altre vele sono del Signorelli, che vi raffigurò:</w:t>
      </w:r>
    </w:p>
    <w:p w:rsidR="006D5722" w:rsidRPr="006D5722" w:rsidRDefault="006D5722" w:rsidP="006D5722">
      <w:pPr>
        <w:numPr>
          <w:ilvl w:val="0"/>
          <w:numId w:val="1"/>
        </w:numPr>
        <w:shd w:val="clear" w:color="auto" w:fill="F1F1F1"/>
        <w:spacing w:after="0" w:line="240" w:lineRule="auto"/>
        <w:ind w:left="6645"/>
        <w:jc w:val="both"/>
        <w:textAlignment w:val="baseline"/>
        <w:rPr>
          <w:rFonts w:ascii="inherit" w:eastAsia="Times New Roman" w:hAnsi="inherit" w:cs="Noto Serif"/>
          <w:color w:val="333333"/>
          <w:sz w:val="29"/>
          <w:szCs w:val="29"/>
          <w:lang w:eastAsia="it-IT"/>
        </w:rPr>
      </w:pPr>
      <w:hyperlink r:id="rId12" w:history="1">
        <w:r w:rsidRPr="006D5722">
          <w:rPr>
            <w:rFonts w:ascii="inherit" w:eastAsia="Times New Roman" w:hAnsi="inherit" w:cs="Noto Serif"/>
            <w:color w:val="333333"/>
            <w:sz w:val="29"/>
            <w:szCs w:val="29"/>
            <w:bdr w:val="none" w:sz="0" w:space="0" w:color="auto" w:frame="1"/>
            <w:lang w:eastAsia="it-IT"/>
          </w:rPr>
          <w:t>“Gloriosus Apostolorum chorus” (Apostoli)</w:t>
        </w:r>
      </w:hyperlink>
      <w:r w:rsidRPr="006D5722">
        <w:rPr>
          <w:rFonts w:ascii="inherit" w:eastAsia="Times New Roman" w:hAnsi="inherit" w:cs="Noto Serif"/>
          <w:color w:val="333333"/>
          <w:sz w:val="29"/>
          <w:szCs w:val="29"/>
          <w:lang w:eastAsia="it-IT"/>
        </w:rPr>
        <w:t>, sulla sinistra, prima campata.</w:t>
      </w:r>
    </w:p>
    <w:p w:rsidR="006D5722" w:rsidRPr="006D5722" w:rsidRDefault="006D5722" w:rsidP="006D5722">
      <w:pPr>
        <w:numPr>
          <w:ilvl w:val="0"/>
          <w:numId w:val="1"/>
        </w:numPr>
        <w:shd w:val="clear" w:color="auto" w:fill="F1F1F1"/>
        <w:spacing w:after="404" w:line="240" w:lineRule="auto"/>
        <w:ind w:left="6645"/>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“Signa iudicium indicantia” (Simboli della Passione e preannuncio del Giudizio con angeli), verso l’ingresso, prima campata.</w:t>
      </w:r>
    </w:p>
    <w:p w:rsidR="006D5722" w:rsidRPr="006D5722" w:rsidRDefault="006D5722" w:rsidP="006D5722">
      <w:pPr>
        <w:numPr>
          <w:ilvl w:val="0"/>
          <w:numId w:val="1"/>
        </w:numPr>
        <w:shd w:val="clear" w:color="auto" w:fill="F1F1F1"/>
        <w:spacing w:after="404" w:line="240" w:lineRule="auto"/>
        <w:ind w:left="6645"/>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“Martyrum candidatus exercitum” (Martiri), verso l’altare, seconda campata.</w:t>
      </w:r>
    </w:p>
    <w:p w:rsidR="006D5722" w:rsidRPr="006D5722" w:rsidRDefault="006D5722" w:rsidP="006D5722">
      <w:pPr>
        <w:numPr>
          <w:ilvl w:val="0"/>
          <w:numId w:val="1"/>
        </w:numPr>
        <w:shd w:val="clear" w:color="auto" w:fill="F1F1F1"/>
        <w:spacing w:after="404" w:line="240" w:lineRule="auto"/>
        <w:ind w:left="6645"/>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“Nobilis Patriarcharum coetus” (Patriarchi), sulla sinistra, seconda campata.</w:t>
      </w:r>
    </w:p>
    <w:p w:rsidR="006D5722" w:rsidRPr="006D5722" w:rsidRDefault="006D5722" w:rsidP="006D5722">
      <w:pPr>
        <w:numPr>
          <w:ilvl w:val="0"/>
          <w:numId w:val="1"/>
        </w:numPr>
        <w:shd w:val="clear" w:color="auto" w:fill="F1F1F1"/>
        <w:spacing w:after="0" w:line="240" w:lineRule="auto"/>
        <w:ind w:left="6645"/>
        <w:jc w:val="both"/>
        <w:textAlignment w:val="baseline"/>
        <w:rPr>
          <w:rFonts w:ascii="inherit" w:eastAsia="Times New Roman" w:hAnsi="inherit" w:cs="Noto Serif"/>
          <w:color w:val="333333"/>
          <w:sz w:val="29"/>
          <w:szCs w:val="29"/>
          <w:lang w:eastAsia="it-IT"/>
        </w:rPr>
      </w:pPr>
      <w:hyperlink r:id="rId13" w:history="1">
        <w:r w:rsidRPr="006D5722">
          <w:rPr>
            <w:rFonts w:ascii="inherit" w:eastAsia="Times New Roman" w:hAnsi="inherit" w:cs="Noto Serif"/>
            <w:color w:val="333333"/>
            <w:sz w:val="29"/>
            <w:szCs w:val="29"/>
            <w:bdr w:val="none" w:sz="0" w:space="0" w:color="auto" w:frame="1"/>
            <w:lang w:eastAsia="it-IT"/>
          </w:rPr>
          <w:t>“Doctorum sapiens ordo” (Dottori della Chiesa)</w:t>
        </w:r>
      </w:hyperlink>
      <w:r w:rsidRPr="006D5722">
        <w:rPr>
          <w:rFonts w:ascii="inherit" w:eastAsia="Times New Roman" w:hAnsi="inherit" w:cs="Noto Serif"/>
          <w:color w:val="333333"/>
          <w:sz w:val="29"/>
          <w:szCs w:val="29"/>
          <w:lang w:eastAsia="it-IT"/>
        </w:rPr>
        <w:t>, seconda campata a destra.</w:t>
      </w:r>
    </w:p>
    <w:p w:rsidR="006D5722" w:rsidRPr="006D5722" w:rsidRDefault="006D5722" w:rsidP="006D5722">
      <w:pPr>
        <w:numPr>
          <w:ilvl w:val="0"/>
          <w:numId w:val="1"/>
        </w:numPr>
        <w:shd w:val="clear" w:color="auto" w:fill="F1F1F1"/>
        <w:spacing w:after="404" w:line="240" w:lineRule="auto"/>
        <w:ind w:left="6645"/>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xml:space="preserve">“Castarum Virginum chorus” (Vergini), verso </w:t>
      </w:r>
      <w:r w:rsidRPr="006D5722">
        <w:rPr>
          <w:rFonts w:ascii="inherit" w:eastAsia="Times New Roman" w:hAnsi="inherit" w:cs="Noto Serif"/>
          <w:color w:val="333333"/>
          <w:sz w:val="29"/>
          <w:szCs w:val="29"/>
          <w:lang w:eastAsia="it-IT"/>
        </w:rPr>
        <w:lastRenderedPageBreak/>
        <w:t>l’ingresso, seconda campata.</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Mettendo a confronto gli affreschi di Luca Signorelli con quelli di Beato Angelico, si evidenzia un</w:t>
      </w:r>
      <w:r w:rsidR="00783CD0">
        <w:rPr>
          <w:rFonts w:ascii="inherit" w:eastAsia="Times New Roman" w:hAnsi="inherit" w:cs="Noto Serif"/>
          <w:color w:val="333333"/>
          <w:sz w:val="29"/>
          <w:szCs w:val="29"/>
          <w:lang w:eastAsia="it-IT"/>
        </w:rPr>
        <w:t>a</w:t>
      </w:r>
      <w:r w:rsidRPr="006D5722">
        <w:rPr>
          <w:rFonts w:ascii="inherit" w:eastAsia="Times New Roman" w:hAnsi="inherit" w:cs="Noto Serif"/>
          <w:color w:val="333333"/>
          <w:sz w:val="29"/>
          <w:szCs w:val="29"/>
          <w:lang w:eastAsia="it-IT"/>
        </w:rPr>
        <w:t xml:space="preserve"> resa pittorica alquanto </w:t>
      </w:r>
      <w:r w:rsidR="00783CD0" w:rsidRPr="006D5722">
        <w:rPr>
          <w:rFonts w:ascii="inherit" w:eastAsia="Times New Roman" w:hAnsi="inherit" w:cs="Noto Serif"/>
          <w:color w:val="333333"/>
          <w:sz w:val="29"/>
          <w:szCs w:val="29"/>
          <w:lang w:eastAsia="it-IT"/>
        </w:rPr>
        <w:t>dissimile: il</w:t>
      </w:r>
      <w:r w:rsidRPr="006D5722">
        <w:rPr>
          <w:rFonts w:ascii="inherit" w:eastAsia="Times New Roman" w:hAnsi="inherit" w:cs="Noto Serif"/>
          <w:color w:val="333333"/>
          <w:sz w:val="29"/>
          <w:szCs w:val="29"/>
          <w:lang w:eastAsia="it-IT"/>
        </w:rPr>
        <w:t xml:space="preserve"> primo lega tutto al fruitore dell’opera ed impiega una tecnica decisa, fluente e – anche per venire incontro alle varie richieste della committenza – sbrigativa, pur sempre di alta qualità [Touring, cit., pag. 598].</w:t>
      </w:r>
    </w:p>
    <w:p w:rsidR="006D5722" w:rsidRPr="006D5722" w:rsidRDefault="006D5722" w:rsidP="006D5722">
      <w:pPr>
        <w:shd w:val="clear" w:color="auto" w:fill="F1F1F1"/>
        <w:spacing w:after="404" w:line="240" w:lineRule="auto"/>
        <w:jc w:val="both"/>
        <w:textAlignment w:val="baseline"/>
        <w:rPr>
          <w:rFonts w:ascii="inherit" w:eastAsia="Times New Roman" w:hAnsi="inherit" w:cs="Noto Serif"/>
          <w:color w:val="333333"/>
          <w:sz w:val="29"/>
          <w:szCs w:val="29"/>
          <w:lang w:eastAsia="it-IT"/>
        </w:rPr>
      </w:pPr>
      <w:r w:rsidRPr="006D5722">
        <w:rPr>
          <w:rFonts w:ascii="inherit" w:eastAsia="Times New Roman" w:hAnsi="inherit" w:cs="Noto Serif"/>
          <w:color w:val="333333"/>
          <w:sz w:val="29"/>
          <w:szCs w:val="29"/>
          <w:lang w:eastAsia="it-IT"/>
        </w:rPr>
        <w:t xml:space="preserve">L’Angelico invece affrontava la decorazione rispettando, come se lavorasse su una tavola, il dettaglio nei minimi particolari, senza tener conto che questi non sarebbero poi stati goduti in pieno dallo spettatore a causa della lontananza del suo punto di </w:t>
      </w:r>
      <w:r w:rsidR="00783CD0" w:rsidRPr="006D5722">
        <w:rPr>
          <w:rFonts w:ascii="inherit" w:eastAsia="Times New Roman" w:hAnsi="inherit" w:cs="Noto Serif"/>
          <w:color w:val="333333"/>
          <w:sz w:val="29"/>
          <w:szCs w:val="29"/>
          <w:lang w:eastAsia="it-IT"/>
        </w:rPr>
        <w:t>osservazione: nella</w:t>
      </w:r>
      <w:r w:rsidRPr="006D5722">
        <w:rPr>
          <w:rFonts w:ascii="inherit" w:eastAsia="Times New Roman" w:hAnsi="inherit" w:cs="Noto Serif"/>
          <w:color w:val="333333"/>
          <w:sz w:val="29"/>
          <w:szCs w:val="29"/>
          <w:lang w:eastAsia="it-IT"/>
        </w:rPr>
        <w:t xml:space="preserve"> prima metà del Quattrocento la pittura era ancora considerata, sopra ogni cosa, un’offerta a Dio, il fruitore principale della decorazione!</w:t>
      </w:r>
    </w:p>
    <w:p w:rsidR="006D5722" w:rsidRPr="006D5722" w:rsidRDefault="006D5722" w:rsidP="006D5722">
      <w:pPr>
        <w:shd w:val="clear" w:color="auto" w:fill="F1F1F1"/>
        <w:spacing w:before="480" w:after="240" w:line="240" w:lineRule="auto"/>
        <w:jc w:val="both"/>
        <w:textAlignment w:val="baseline"/>
        <w:outlineLvl w:val="1"/>
        <w:rPr>
          <w:rFonts w:ascii="inherit" w:eastAsia="Times New Roman" w:hAnsi="inherit" w:cs="Noto Serif"/>
          <w:b/>
          <w:bCs/>
          <w:color w:val="333333"/>
          <w:sz w:val="36"/>
          <w:szCs w:val="36"/>
          <w:lang w:eastAsia="it-IT"/>
        </w:rPr>
      </w:pPr>
      <w:r w:rsidRPr="006D5722">
        <w:rPr>
          <w:rFonts w:ascii="inherit" w:eastAsia="Times New Roman" w:hAnsi="inherit" w:cs="Noto Serif"/>
          <w:b/>
          <w:bCs/>
          <w:color w:val="333333"/>
          <w:sz w:val="36"/>
          <w:szCs w:val="36"/>
          <w:lang w:eastAsia="it-IT"/>
        </w:rPr>
        <w:t>Le raffigurazioni</w:t>
      </w: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Pr="004B792E" w:rsidRDefault="006D5722" w:rsidP="004B792E">
      <w:pPr>
        <w:pStyle w:val="Paragrafoelenco"/>
        <w:numPr>
          <w:ilvl w:val="0"/>
          <w:numId w:val="2"/>
        </w:numPr>
        <w:shd w:val="clear" w:color="auto" w:fill="F1F1F1"/>
        <w:spacing w:after="0" w:line="240" w:lineRule="auto"/>
        <w:jc w:val="both"/>
        <w:textAlignment w:val="baseline"/>
        <w:rPr>
          <w:rFonts w:ascii="inherit" w:eastAsia="Times New Roman" w:hAnsi="inherit" w:cs="Noto Serif"/>
          <w:color w:val="333333"/>
          <w:sz w:val="29"/>
          <w:szCs w:val="29"/>
          <w:lang w:eastAsia="it-IT"/>
        </w:rPr>
      </w:pPr>
      <w:hyperlink r:id="rId14" w:history="1">
        <w:r w:rsidRPr="004B792E">
          <w:rPr>
            <w:rFonts w:ascii="inherit" w:eastAsia="Times New Roman" w:hAnsi="inherit" w:cs="Noto Serif"/>
            <w:color w:val="333333"/>
            <w:sz w:val="29"/>
            <w:szCs w:val="29"/>
            <w:bdr w:val="none" w:sz="0" w:space="0" w:color="auto" w:frame="1"/>
            <w:lang w:eastAsia="it-IT"/>
          </w:rPr>
          <w:t>Predica e morte dell’Anticristo</w:t>
        </w:r>
      </w:hyperlink>
      <w:r w:rsidRPr="004B792E">
        <w:rPr>
          <w:rFonts w:ascii="inherit" w:eastAsia="Times New Roman" w:hAnsi="inherit" w:cs="Noto Serif"/>
          <w:color w:val="333333"/>
          <w:sz w:val="29"/>
          <w:szCs w:val="29"/>
          <w:lang w:eastAsia="it-IT"/>
        </w:rPr>
        <w:t>.</w:t>
      </w:r>
    </w:p>
    <w:p w:rsidR="00F131DB" w:rsidRDefault="00F131DB"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F131DB" w:rsidRDefault="00F131DB"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noProof/>
        </w:rPr>
      </w:pPr>
    </w:p>
    <w:p w:rsidR="00976A3D" w:rsidRDefault="00976A3D" w:rsidP="006D5722">
      <w:pPr>
        <w:shd w:val="clear" w:color="auto" w:fill="F1F1F1"/>
        <w:spacing w:after="0" w:line="240" w:lineRule="auto"/>
        <w:jc w:val="both"/>
        <w:textAlignment w:val="baseline"/>
        <w:rPr>
          <w:noProof/>
        </w:rPr>
      </w:pPr>
    </w:p>
    <w:p w:rsidR="00F131DB" w:rsidRDefault="00F131DB"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F131DB" w:rsidRDefault="00F131DB"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F131DB" w:rsidRDefault="00DE3D18"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Pr>
          <w:noProof/>
        </w:rPr>
        <w:lastRenderedPageBreak/>
        <w:drawing>
          <wp:inline distT="0" distB="0" distL="0" distR="0" wp14:anchorId="42783A11" wp14:editId="19587D1D">
            <wp:extent cx="6757763" cy="4658908"/>
            <wp:effectExtent l="0" t="0" r="508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5334" cy="4664128"/>
                    </a:xfrm>
                    <a:prstGeom prst="rect">
                      <a:avLst/>
                    </a:prstGeom>
                    <a:noFill/>
                    <a:ln>
                      <a:noFill/>
                    </a:ln>
                  </pic:spPr>
                </pic:pic>
              </a:graphicData>
            </a:graphic>
          </wp:inline>
        </w:drawing>
      </w:r>
    </w:p>
    <w:p w:rsidR="00F131DB" w:rsidRDefault="00F131DB"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F17D55" w:rsidRPr="001C2B83" w:rsidRDefault="00F17D55" w:rsidP="00F17D55">
      <w:pPr>
        <w:pStyle w:val="style10"/>
        <w:shd w:val="clear" w:color="auto" w:fill="FFFFFF"/>
        <w:spacing w:before="0" w:beforeAutospacing="0" w:after="0" w:afterAutospacing="0"/>
        <w:textAlignment w:val="baseline"/>
        <w:rPr>
          <w:rFonts w:ascii="Noto Serif" w:hAnsi="Noto Serif" w:cs="Noto Serif"/>
          <w:color w:val="333333"/>
          <w:sz w:val="29"/>
          <w:szCs w:val="29"/>
        </w:rPr>
      </w:pPr>
      <w:r w:rsidRPr="001C2B83">
        <w:rPr>
          <w:rFonts w:ascii="Noto Serif" w:hAnsi="Noto Serif" w:cs="Noto Serif"/>
          <w:color w:val="333333"/>
          <w:sz w:val="29"/>
          <w:szCs w:val="29"/>
        </w:rPr>
        <w:t>Sull’opera: “Predica e morte dell’Anticristo” è un affresco realizzato intorno al 1499-1502 da Luca Signorelli e suoi aiuti, appartenente al ciclo delle “Storie degli ultimi giorni” nella Cappella di San Brizio (Cappella Nova) del Duomo di Orvieto.</w:t>
      </w:r>
      <w:r w:rsidRPr="001C2B83">
        <w:rPr>
          <w:rStyle w:val="style15"/>
          <w:rFonts w:ascii="inherit" w:hAnsi="inherit" w:cs="Noto Serif"/>
          <w:color w:val="333333"/>
          <w:sz w:val="29"/>
          <w:szCs w:val="29"/>
          <w:bdr w:val="none" w:sz="0" w:space="0" w:color="auto" w:frame="1"/>
        </w:rPr>
        <w:t> </w:t>
      </w:r>
    </w:p>
    <w:p w:rsidR="00F131DB" w:rsidRPr="001C2B83" w:rsidRDefault="00F131DB"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F17D55" w:rsidRPr="00F17D55" w:rsidRDefault="00F17D55" w:rsidP="00F17D55">
      <w:pPr>
        <w:spacing w:after="404" w:line="240" w:lineRule="auto"/>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L’Anticristo è la prima raffigurazione del ciclo, che si incontra subito a sinistra dopo l’ingresso.</w:t>
      </w:r>
    </w:p>
    <w:p w:rsidR="00F17D55" w:rsidRPr="00F17D55" w:rsidRDefault="00F17D55" w:rsidP="00F17D55">
      <w:pPr>
        <w:spacing w:after="404" w:line="240" w:lineRule="auto"/>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 xml:space="preserve">Per il tema trattato e per come esso viene svolto nella presente composizione, il riquadro </w:t>
      </w:r>
      <w:r w:rsidR="009906A4" w:rsidRPr="00F17D55">
        <w:rPr>
          <w:rFonts w:ascii="inherit" w:eastAsia="Times New Roman" w:hAnsi="inherit" w:cs="Times New Roman"/>
          <w:sz w:val="29"/>
          <w:szCs w:val="29"/>
          <w:lang w:eastAsia="it-IT"/>
        </w:rPr>
        <w:t>costituisce un</w:t>
      </w:r>
      <w:r w:rsidRPr="00F17D55">
        <w:rPr>
          <w:rFonts w:ascii="inherit" w:eastAsia="Times New Roman" w:hAnsi="inherit" w:cs="Times New Roman"/>
          <w:sz w:val="29"/>
          <w:szCs w:val="29"/>
          <w:lang w:eastAsia="it-IT"/>
        </w:rPr>
        <w:t xml:space="preserve"> caso unico nella Storia dell’arte italiana. Una raffigurazione a carattere monumentale tratta dal “De ortu et tempore Antichristi” – testo variamente attribuito, allora fortemente legato alla tormentosa attesa del secondo millennio </w:t>
      </w:r>
      <w:r w:rsidR="009906A4" w:rsidRPr="00F17D55">
        <w:rPr>
          <w:rFonts w:ascii="inherit" w:eastAsia="Times New Roman" w:hAnsi="inherit" w:cs="Times New Roman"/>
          <w:sz w:val="29"/>
          <w:szCs w:val="29"/>
          <w:lang w:eastAsia="it-IT"/>
        </w:rPr>
        <w:t>– e</w:t>
      </w:r>
      <w:r w:rsidRPr="00F17D55">
        <w:rPr>
          <w:rFonts w:ascii="inherit" w:eastAsia="Times New Roman" w:hAnsi="inherit" w:cs="Times New Roman"/>
          <w:sz w:val="29"/>
          <w:szCs w:val="29"/>
          <w:lang w:eastAsia="it-IT"/>
        </w:rPr>
        <w:t xml:space="preserve"> dalla Leggenda Aurea.</w:t>
      </w:r>
    </w:p>
    <w:p w:rsidR="00F17D55" w:rsidRPr="00F17D55" w:rsidRDefault="00F17D55" w:rsidP="00F17D55">
      <w:pPr>
        <w:spacing w:after="404"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L’avvento di falsi Messia, inoltre, lo troviamo negli scritti profetici sugli Ultimi Giorni del Vangelo secondo Matteo (24, 5-10).</w:t>
      </w:r>
    </w:p>
    <w:p w:rsidR="00F17D55" w:rsidRPr="00F17D55" w:rsidRDefault="00F17D55" w:rsidP="00F17D55">
      <w:pPr>
        <w:spacing w:after="0" w:line="240" w:lineRule="auto"/>
        <w:jc w:val="both"/>
        <w:textAlignment w:val="baseline"/>
        <w:rPr>
          <w:rFonts w:ascii="inherit" w:eastAsia="Times New Roman" w:hAnsi="inherit" w:cs="Times New Roman"/>
          <w:sz w:val="29"/>
          <w:szCs w:val="29"/>
          <w:lang w:eastAsia="it-IT"/>
        </w:rPr>
      </w:pPr>
      <w:hyperlink r:id="rId16" w:history="1">
        <w:r w:rsidRPr="00F17D55">
          <w:rPr>
            <w:rFonts w:ascii="inherit" w:eastAsia="Times New Roman" w:hAnsi="inherit" w:cs="Times New Roman"/>
            <w:color w:val="333333"/>
            <w:sz w:val="29"/>
            <w:szCs w:val="29"/>
            <w:u w:val="single"/>
            <w:bdr w:val="none" w:sz="0" w:space="0" w:color="auto" w:frame="1"/>
            <w:lang w:eastAsia="it-IT"/>
          </w:rPr>
          <w:t>L’Anticristo</w:t>
        </w:r>
      </w:hyperlink>
      <w:r w:rsidRPr="00F17D55">
        <w:rPr>
          <w:rFonts w:ascii="inherit" w:eastAsia="Times New Roman" w:hAnsi="inherit" w:cs="Times New Roman"/>
          <w:sz w:val="29"/>
          <w:szCs w:val="29"/>
          <w:lang w:eastAsia="it-IT"/>
        </w:rPr>
        <w:t> viene raffigurato dal Signorelli in primo piano mentre predica alla folla da sopra un piedistallo. Esso, nelle fattezze, è simile a Gesù Cristo ma viene mosso dal demone che sta al suo fianco e che gli detta precisi ordini all’orecchio, guidandogli i gesti in modo assai disarticolato, come se fosse inanimato (si noti a tal proposito il braccio sinistro di Satana che si sostituisce completamente a quello dell’Anticristo</w:t>
      </w:r>
      <w:r w:rsidR="00DE33D1">
        <w:rPr>
          <w:rFonts w:ascii="inherit" w:eastAsia="Times New Roman" w:hAnsi="inherit" w:cs="Times New Roman"/>
          <w:sz w:val="29"/>
          <w:szCs w:val="29"/>
          <w:lang w:eastAsia="it-IT"/>
        </w:rPr>
        <w:t xml:space="preserve">, </w:t>
      </w:r>
      <w:r w:rsidR="00DE33D1">
        <w:rPr>
          <w:rFonts w:ascii="inherit" w:eastAsia="Times New Roman" w:hAnsi="inherit" w:cs="Times New Roman"/>
          <w:color w:val="0070C0"/>
          <w:sz w:val="29"/>
          <w:szCs w:val="29"/>
          <w:lang w:eastAsia="it-IT"/>
        </w:rPr>
        <w:t>la sinistra indica il basso</w:t>
      </w:r>
      <w:r w:rsidR="00DE33D1">
        <w:rPr>
          <w:rFonts w:ascii="inherit" w:eastAsia="Times New Roman" w:hAnsi="inherit" w:cs="Times New Roman"/>
          <w:sz w:val="29"/>
          <w:szCs w:val="29"/>
          <w:lang w:eastAsia="it-IT"/>
        </w:rPr>
        <w:t xml:space="preserve"> </w:t>
      </w:r>
      <w:r w:rsidR="00DE33D1" w:rsidRPr="00DE33D1">
        <w:rPr>
          <w:rFonts w:ascii="inherit" w:eastAsia="Times New Roman" w:hAnsi="inherit" w:cs="Times New Roman"/>
          <w:color w:val="0070C0"/>
          <w:sz w:val="29"/>
          <w:szCs w:val="29"/>
          <w:lang w:eastAsia="it-IT"/>
        </w:rPr>
        <w:t>mentre</w:t>
      </w:r>
      <w:r w:rsidR="00DE33D1">
        <w:rPr>
          <w:rFonts w:ascii="inherit" w:eastAsia="Times New Roman" w:hAnsi="inherit" w:cs="Times New Roman"/>
          <w:sz w:val="29"/>
          <w:szCs w:val="29"/>
          <w:lang w:eastAsia="it-IT"/>
        </w:rPr>
        <w:t xml:space="preserve"> </w:t>
      </w:r>
      <w:r w:rsidR="00DE33D1" w:rsidRPr="00DE33D1">
        <w:rPr>
          <w:rFonts w:ascii="inherit" w:eastAsia="Times New Roman" w:hAnsi="inherit" w:cs="Times New Roman"/>
          <w:color w:val="0070C0"/>
          <w:sz w:val="29"/>
          <w:szCs w:val="29"/>
          <w:lang w:eastAsia="it-IT"/>
        </w:rPr>
        <w:t>la mano destra</w:t>
      </w:r>
      <w:r w:rsidR="00DE33D1">
        <w:rPr>
          <w:rFonts w:ascii="inherit" w:eastAsia="Times New Roman" w:hAnsi="inherit" w:cs="Times New Roman"/>
          <w:color w:val="0070C0"/>
          <w:sz w:val="29"/>
          <w:szCs w:val="29"/>
          <w:lang w:eastAsia="it-IT"/>
        </w:rPr>
        <w:t xml:space="preserve"> indica se stesso</w:t>
      </w:r>
      <w:r w:rsidR="00DE33D1" w:rsidRPr="00DE33D1">
        <w:rPr>
          <w:rFonts w:ascii="inherit" w:eastAsia="Times New Roman" w:hAnsi="inherit" w:cs="Times New Roman"/>
          <w:color w:val="0070C0"/>
          <w:sz w:val="29"/>
          <w:szCs w:val="29"/>
          <w:lang w:eastAsia="it-IT"/>
        </w:rPr>
        <w:t xml:space="preserve"> </w:t>
      </w:r>
      <w:r w:rsidRPr="00F17D55">
        <w:rPr>
          <w:rFonts w:ascii="inherit" w:eastAsia="Times New Roman" w:hAnsi="inherit" w:cs="Times New Roman"/>
          <w:sz w:val="29"/>
          <w:szCs w:val="29"/>
          <w:lang w:eastAsia="it-IT"/>
        </w:rPr>
        <w:t>). Esso è attorniato da molta gente, dislocata in vari gruppi, che ha offerto lussuosi doni e generose elargizioni, apparendo già irrimediabilmente corrotta dai suoi discorsi.</w:t>
      </w:r>
    </w:p>
    <w:p w:rsidR="00F17D55" w:rsidRPr="00F17D55" w:rsidRDefault="00F17D55" w:rsidP="00F17D55">
      <w:pPr>
        <w:spacing w:after="0"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Nella zona  a sinistra appaiono scene di grande degrado: un uomo sta compiendo un’efferata strage, </w:t>
      </w:r>
      <w:hyperlink r:id="rId17" w:history="1">
        <w:r w:rsidRPr="00F17D55">
          <w:rPr>
            <w:rFonts w:ascii="inherit" w:eastAsia="Times New Roman" w:hAnsi="inherit" w:cs="Times New Roman"/>
            <w:color w:val="333333"/>
            <w:sz w:val="29"/>
            <w:szCs w:val="29"/>
            <w:u w:val="single"/>
            <w:bdr w:val="none" w:sz="0" w:space="0" w:color="auto" w:frame="1"/>
            <w:lang w:eastAsia="it-IT"/>
          </w:rPr>
          <w:t>una giovane donna sta ricevendo soldi</w:t>
        </w:r>
      </w:hyperlink>
      <w:r w:rsidRPr="00F17D55">
        <w:rPr>
          <w:rFonts w:ascii="inherit" w:eastAsia="Times New Roman" w:hAnsi="inherit" w:cs="Times New Roman"/>
          <w:sz w:val="29"/>
          <w:szCs w:val="29"/>
          <w:lang w:eastAsia="it-IT"/>
        </w:rPr>
        <w:t> dopo essersi prostituita con un anziano mercante, mentre altre figure di basso rango sono in atteggiamenti di pura spavalderia [Paolucci, cit., pag. 290].</w:t>
      </w:r>
    </w:p>
    <w:p w:rsidR="00F17D55" w:rsidRPr="00F17D55" w:rsidRDefault="00F17D55" w:rsidP="00F17D55">
      <w:pPr>
        <w:spacing w:after="0"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I personaggi, che indossano vestiti dell’epoca contemporanea, furono identificati dal </w:t>
      </w:r>
      <w:hyperlink r:id="rId18" w:history="1">
        <w:r w:rsidRPr="00F17D55">
          <w:rPr>
            <w:rFonts w:ascii="inherit" w:eastAsia="Times New Roman" w:hAnsi="inherit" w:cs="Times New Roman"/>
            <w:color w:val="333333"/>
            <w:sz w:val="29"/>
            <w:szCs w:val="29"/>
            <w:u w:val="single"/>
            <w:bdr w:val="none" w:sz="0" w:space="0" w:color="auto" w:frame="1"/>
            <w:lang w:eastAsia="it-IT"/>
          </w:rPr>
          <w:t>Vasari</w:t>
        </w:r>
      </w:hyperlink>
      <w:r w:rsidRPr="00F17D55">
        <w:rPr>
          <w:rFonts w:ascii="inherit" w:eastAsia="Times New Roman" w:hAnsi="inherit" w:cs="Times New Roman"/>
          <w:sz w:val="29"/>
          <w:szCs w:val="29"/>
          <w:lang w:eastAsia="it-IT"/>
        </w:rPr>
        <w:t>: Cesare Borgia (figura barbuta con il cappello rosso, all’estrema sinistra), </w:t>
      </w:r>
      <w:hyperlink r:id="rId19" w:history="1">
        <w:r w:rsidRPr="00F17D55">
          <w:rPr>
            <w:rFonts w:ascii="inherit" w:eastAsia="Times New Roman" w:hAnsi="inherit" w:cs="Times New Roman"/>
            <w:color w:val="333333"/>
            <w:sz w:val="29"/>
            <w:szCs w:val="29"/>
            <w:u w:val="single"/>
            <w:bdr w:val="none" w:sz="0" w:space="0" w:color="auto" w:frame="1"/>
            <w:lang w:eastAsia="it-IT"/>
          </w:rPr>
          <w:t>Pinturicchio</w:t>
        </w:r>
      </w:hyperlink>
      <w:r w:rsidRPr="00F17D55">
        <w:rPr>
          <w:rFonts w:ascii="inherit" w:eastAsia="Times New Roman" w:hAnsi="inherit" w:cs="Times New Roman"/>
          <w:sz w:val="29"/>
          <w:szCs w:val="29"/>
          <w:lang w:eastAsia="it-IT"/>
        </w:rPr>
        <w:t>, Vitellozzo Vitelli e Nicolò Paolo Vitelli, Giovanni Paolo e </w:t>
      </w:r>
      <w:hyperlink r:id="rId20" w:history="1">
        <w:r w:rsidRPr="00F17D55">
          <w:rPr>
            <w:rFonts w:ascii="inherit" w:eastAsia="Times New Roman" w:hAnsi="inherit" w:cs="Times New Roman"/>
            <w:color w:val="333333"/>
            <w:sz w:val="29"/>
            <w:szCs w:val="29"/>
            <w:u w:val="single"/>
            <w:bdr w:val="none" w:sz="0" w:space="0" w:color="auto" w:frame="1"/>
            <w:lang w:eastAsia="it-IT"/>
          </w:rPr>
          <w:t>Orazio Baglioni</w:t>
        </w:r>
      </w:hyperlink>
      <w:r w:rsidRPr="00F17D55">
        <w:rPr>
          <w:rFonts w:ascii="inherit" w:eastAsia="Times New Roman" w:hAnsi="inherit" w:cs="Times New Roman"/>
          <w:sz w:val="29"/>
          <w:szCs w:val="29"/>
          <w:lang w:eastAsia="it-IT"/>
        </w:rPr>
        <w:t>, quest’ultimo l’erede dei Monaldeschi (quello a destra del finto Messia con le mani appoggiate fianchi), Enea Silvio Piccolomini (la figura calva tozza e corpulenta) [Touring, cit., pag. 599].</w:t>
      </w:r>
    </w:p>
    <w:p w:rsidR="00F17D55" w:rsidRPr="00F17D55" w:rsidRDefault="00F17D55" w:rsidP="00F17D55">
      <w:pPr>
        <w:spacing w:after="404"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Secondo alcuni studiosi esiste un collegamento diretto alle contemporanee di vicende religiose con il Savonarola, le cui prediche infiammarono di ardore gli ambienti fiorentini prima che fosse mandato al rogo, il 23 maggio 1498 per eresia, da</w:t>
      </w:r>
      <w:r w:rsidR="00DE3D18">
        <w:rPr>
          <w:rFonts w:ascii="inherit" w:eastAsia="Times New Roman" w:hAnsi="inherit" w:cs="Times New Roman"/>
          <w:sz w:val="29"/>
          <w:szCs w:val="29"/>
          <w:lang w:eastAsia="it-IT"/>
        </w:rPr>
        <w:t xml:space="preserve"> p</w:t>
      </w:r>
      <w:r w:rsidRPr="00F17D55">
        <w:rPr>
          <w:rFonts w:ascii="inherit" w:eastAsia="Times New Roman" w:hAnsi="inherit" w:cs="Times New Roman"/>
          <w:sz w:val="29"/>
          <w:szCs w:val="29"/>
          <w:lang w:eastAsia="it-IT"/>
        </w:rPr>
        <w:t>apa Alessandro VI (Xàtiva, 1431 – Roma, 1503).</w:t>
      </w:r>
    </w:p>
    <w:p w:rsidR="00F17D55" w:rsidRPr="00F17D55" w:rsidRDefault="00F17D55" w:rsidP="00F17D55">
      <w:pPr>
        <w:spacing w:after="404"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Tutto sommato, malgrado la controversa condanna, Orvieto e dintorni rimanevano fedelmente ancorati alla religione tradizionale e perciò pronti a recepire tale messaggio, e lo stesso artista, saldamente protetto dalla famiglia de’ Medici, considerava certamente negativo il rovesciamento democratico che il frate ribelle stimolava per Firenze.</w:t>
      </w:r>
    </w:p>
    <w:p w:rsidR="00F17D55" w:rsidRPr="00F17D55" w:rsidRDefault="00F17D55" w:rsidP="00F17D55">
      <w:pPr>
        <w:spacing w:after="404"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Dietro alla scena principale, in uno sfondo molto spazioso in cui spicca un enorme edificio in stile classicheggiante (secondo alcuni, una rappresentazione del tempio di Salomone a Gerusalemme), appaiono altri raggruppamenti di personaggi e soldati neri (figure aggiunte in secondo tempo a “secco” [Touring, cit., pag. 600]).</w:t>
      </w:r>
    </w:p>
    <w:p w:rsidR="00F17D55" w:rsidRPr="00F17D55" w:rsidRDefault="00F17D55" w:rsidP="00F17D55">
      <w:pPr>
        <w:spacing w:after="404"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L’edificio, che rappresenta comunque la Chiesa, è a pianta centrale con quattro pronai, che assumono alla base la forma di una croce greca, con al centro due tiburii e, verosimilmente nella parte nascosta dall’arco in primo piano, una cupola che prosegue idealmente oltre il riquadro affrescato.</w:t>
      </w:r>
    </w:p>
    <w:p w:rsidR="00F17D55" w:rsidRPr="00F17D55" w:rsidRDefault="00F17D55" w:rsidP="00F17D55">
      <w:pPr>
        <w:spacing w:after="404"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lastRenderedPageBreak/>
        <w:t> Anche in secondo piano si consumano scene orrende ed altri eventi fenomenali, legati al messaggio dominante con la stessa vivace ed intensa forza narrativa. A destra, di fronte al tempio, l’Anticristo decide le esecuzioni capitali dei due “testimoni” Enoch ed Elia, mentre nella zona centrale sta compiendo un miracolo facendo risorgere un morto per rafforzare agli occhi del gruppo la sua falsa identità.</w:t>
      </w:r>
    </w:p>
    <w:p w:rsidR="00F17D55" w:rsidRPr="00F17D55" w:rsidRDefault="00F17D55" w:rsidP="00F17D55">
      <w:pPr>
        <w:spacing w:after="404"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 xml:space="preserve">Più sotto, verso destra, un gruppetto di religiosi </w:t>
      </w:r>
      <w:r w:rsidR="00DE3D18">
        <w:rPr>
          <w:rFonts w:ascii="inherit" w:eastAsia="Times New Roman" w:hAnsi="inherit" w:cs="Times New Roman"/>
          <w:color w:val="0070C0"/>
          <w:sz w:val="29"/>
          <w:szCs w:val="29"/>
          <w:lang w:eastAsia="it-IT"/>
        </w:rPr>
        <w:t>[riconoscibili un domenicano e un francescano, forse un camaldolese]</w:t>
      </w:r>
      <w:r w:rsidRPr="00F17D55">
        <w:rPr>
          <w:rFonts w:ascii="inherit" w:eastAsia="Times New Roman" w:hAnsi="inherit" w:cs="Times New Roman"/>
          <w:sz w:val="29"/>
          <w:szCs w:val="29"/>
          <w:lang w:eastAsia="it-IT"/>
        </w:rPr>
        <w:t>che dopo aver consultato le Scritture scoprono l’inganno del falso personaggio e si stringono in preghiera, rendendosi anche conto, probabilmente, delle orrende vicende future: 1290 giorni di dominio anticristiano già profetizzati da Daniele [Touring, cit., pag. 600].</w:t>
      </w:r>
    </w:p>
    <w:p w:rsidR="00F17D55" w:rsidRDefault="00F17D55" w:rsidP="00F17D55">
      <w:pPr>
        <w:spacing w:after="0" w:line="240" w:lineRule="auto"/>
        <w:jc w:val="both"/>
        <w:textAlignment w:val="baseline"/>
        <w:rPr>
          <w:rFonts w:ascii="inherit" w:eastAsia="Times New Roman" w:hAnsi="inherit" w:cs="Times New Roman"/>
          <w:sz w:val="29"/>
          <w:szCs w:val="29"/>
          <w:lang w:eastAsia="it-IT"/>
        </w:rPr>
      </w:pPr>
      <w:r w:rsidRPr="00F17D55">
        <w:rPr>
          <w:rFonts w:ascii="inherit" w:eastAsia="Times New Roman" w:hAnsi="inherit" w:cs="Times New Roman"/>
          <w:sz w:val="29"/>
          <w:szCs w:val="29"/>
          <w:lang w:eastAsia="it-IT"/>
        </w:rPr>
        <w:t>Infine, sulla sinistra, compare la narrazione che chiude delle vicende dell’Anticristo, dove l’Arcangelo Michele, scendendo dal cielo, lo trafigge in pieno con la spada, facendolo precipitare a testa in giù, mentre invia raggi infuocati uccidendo i suoi seguaci [Touring, cit., pag. 600]. Si tratta secondo gli studiosi del migliore episodio, non solo del presente riquadro ma dell’intero ciclo, almeno riguardo l’originalità narrativa e la fantastica evocazione. I due personaggi all’estrema sinistra, con vesti scure, sono stati identificati in Luca Signorelli e </w:t>
      </w:r>
      <w:hyperlink r:id="rId21" w:history="1">
        <w:r w:rsidRPr="00F17D55">
          <w:rPr>
            <w:rFonts w:ascii="inherit" w:eastAsia="Times New Roman" w:hAnsi="inherit" w:cs="Times New Roman"/>
            <w:color w:val="333333"/>
            <w:sz w:val="29"/>
            <w:szCs w:val="29"/>
            <w:u w:val="single"/>
            <w:bdr w:val="none" w:sz="0" w:space="0" w:color="auto" w:frame="1"/>
            <w:lang w:eastAsia="it-IT"/>
          </w:rPr>
          <w:t>Beato Angelico</w:t>
        </w:r>
      </w:hyperlink>
      <w:r w:rsidRPr="00F17D55">
        <w:rPr>
          <w:rFonts w:ascii="inherit" w:eastAsia="Times New Roman" w:hAnsi="inherit" w:cs="Times New Roman"/>
          <w:sz w:val="29"/>
          <w:szCs w:val="29"/>
          <w:lang w:eastAsia="it-IT"/>
        </w:rPr>
        <w:t>.</w:t>
      </w:r>
    </w:p>
    <w:p w:rsidR="00F17D55" w:rsidRDefault="00F17D55" w:rsidP="00F17D55">
      <w:pPr>
        <w:spacing w:after="0" w:line="240" w:lineRule="auto"/>
        <w:jc w:val="both"/>
        <w:textAlignment w:val="baseline"/>
        <w:rPr>
          <w:rFonts w:ascii="inherit" w:eastAsia="Times New Roman" w:hAnsi="inherit" w:cs="Times New Roman"/>
          <w:sz w:val="29"/>
          <w:szCs w:val="29"/>
          <w:lang w:eastAsia="it-IT"/>
        </w:rPr>
      </w:pPr>
    </w:p>
    <w:p w:rsidR="001C2B83" w:rsidRDefault="001C2B83" w:rsidP="00F17D55">
      <w:pPr>
        <w:spacing w:after="0" w:line="240" w:lineRule="auto"/>
        <w:jc w:val="both"/>
        <w:textAlignment w:val="baseline"/>
        <w:rPr>
          <w:rFonts w:ascii="inherit" w:eastAsia="Times New Roman" w:hAnsi="inherit" w:cs="Times New Roman"/>
          <w:sz w:val="29"/>
          <w:szCs w:val="29"/>
          <w:lang w:eastAsia="it-IT"/>
        </w:rPr>
      </w:pPr>
    </w:p>
    <w:p w:rsidR="001C2B83" w:rsidRDefault="001C2B83" w:rsidP="00F17D55">
      <w:pPr>
        <w:spacing w:after="0" w:line="240" w:lineRule="auto"/>
        <w:jc w:val="both"/>
        <w:textAlignment w:val="baseline"/>
        <w:rPr>
          <w:rFonts w:ascii="inherit" w:eastAsia="Times New Roman" w:hAnsi="inherit" w:cs="Times New Roman"/>
          <w:sz w:val="29"/>
          <w:szCs w:val="29"/>
          <w:lang w:eastAsia="it-IT"/>
        </w:rPr>
      </w:pPr>
      <w:r>
        <w:rPr>
          <w:noProof/>
        </w:rPr>
        <w:lastRenderedPageBreak/>
        <w:drawing>
          <wp:inline distT="0" distB="0" distL="0" distR="0" wp14:anchorId="3AC37759" wp14:editId="7048CE1B">
            <wp:extent cx="6120130" cy="4819602"/>
            <wp:effectExtent l="0" t="0" r="0" b="635"/>
            <wp:docPr id="16" name="Immagine 16" descr="Dettaglio, la pre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taglio, la pred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819602"/>
                    </a:xfrm>
                    <a:prstGeom prst="rect">
                      <a:avLst/>
                    </a:prstGeom>
                    <a:noFill/>
                    <a:ln>
                      <a:noFill/>
                    </a:ln>
                  </pic:spPr>
                </pic:pic>
              </a:graphicData>
            </a:graphic>
          </wp:inline>
        </w:drawing>
      </w:r>
    </w:p>
    <w:p w:rsidR="00F17D55" w:rsidRDefault="00F17D55" w:rsidP="00F17D55">
      <w:pPr>
        <w:spacing w:after="0" w:line="240" w:lineRule="auto"/>
        <w:jc w:val="both"/>
        <w:textAlignment w:val="baseline"/>
        <w:rPr>
          <w:rFonts w:ascii="inherit" w:eastAsia="Times New Roman" w:hAnsi="inherit" w:cs="Times New Roman"/>
          <w:sz w:val="29"/>
          <w:szCs w:val="29"/>
          <w:lang w:eastAsia="it-IT"/>
        </w:rPr>
      </w:pPr>
    </w:p>
    <w:p w:rsidR="00F17D55" w:rsidRDefault="001C2B83" w:rsidP="00F17D55">
      <w:pPr>
        <w:spacing w:after="0" w:line="240" w:lineRule="auto"/>
        <w:jc w:val="both"/>
        <w:textAlignment w:val="baseline"/>
        <w:rPr>
          <w:rFonts w:ascii="inherit" w:eastAsia="Times New Roman" w:hAnsi="inherit" w:cs="Times New Roman"/>
          <w:sz w:val="29"/>
          <w:szCs w:val="29"/>
          <w:lang w:eastAsia="it-IT"/>
        </w:rPr>
      </w:pPr>
      <w:r>
        <w:rPr>
          <w:noProof/>
        </w:rPr>
        <w:lastRenderedPageBreak/>
        <w:drawing>
          <wp:inline distT="0" distB="0" distL="0" distR="0" wp14:anchorId="0D847FE6" wp14:editId="60D0ADE2">
            <wp:extent cx="3253740" cy="4067175"/>
            <wp:effectExtent l="0" t="0" r="3810" b="9525"/>
            <wp:docPr id="17" name="Immagine 17" descr="Chapelle San Bri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elle San Briz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3740" cy="4067175"/>
                    </a:xfrm>
                    <a:prstGeom prst="rect">
                      <a:avLst/>
                    </a:prstGeom>
                    <a:noFill/>
                    <a:ln>
                      <a:noFill/>
                    </a:ln>
                  </pic:spPr>
                </pic:pic>
              </a:graphicData>
            </a:graphic>
          </wp:inline>
        </w:drawing>
      </w:r>
    </w:p>
    <w:p w:rsidR="005A6B4A" w:rsidRDefault="005A6B4A" w:rsidP="00F17D55">
      <w:pPr>
        <w:spacing w:after="0" w:line="240" w:lineRule="auto"/>
        <w:jc w:val="both"/>
        <w:textAlignment w:val="baseline"/>
        <w:rPr>
          <w:rFonts w:ascii="inherit" w:eastAsia="Times New Roman" w:hAnsi="inherit" w:cs="Times New Roman"/>
          <w:sz w:val="29"/>
          <w:szCs w:val="29"/>
          <w:lang w:eastAsia="it-IT"/>
        </w:rPr>
      </w:pPr>
    </w:p>
    <w:p w:rsidR="005A6B4A" w:rsidRDefault="005A6B4A" w:rsidP="00F17D55">
      <w:pPr>
        <w:spacing w:after="0" w:line="240" w:lineRule="auto"/>
        <w:jc w:val="both"/>
        <w:textAlignment w:val="baseline"/>
        <w:rPr>
          <w:rFonts w:ascii="inherit" w:eastAsia="Times New Roman" w:hAnsi="inherit" w:cs="Times New Roman"/>
          <w:sz w:val="29"/>
          <w:szCs w:val="29"/>
          <w:lang w:eastAsia="it-IT"/>
        </w:rPr>
      </w:pPr>
    </w:p>
    <w:p w:rsidR="005A6B4A" w:rsidRDefault="005A6B4A" w:rsidP="00F17D55">
      <w:pPr>
        <w:spacing w:after="0" w:line="240" w:lineRule="auto"/>
        <w:jc w:val="both"/>
        <w:textAlignment w:val="baseline"/>
        <w:rPr>
          <w:rFonts w:ascii="inherit" w:eastAsia="Times New Roman" w:hAnsi="inherit" w:cs="Times New Roman"/>
          <w:sz w:val="29"/>
          <w:szCs w:val="29"/>
          <w:lang w:eastAsia="it-IT"/>
        </w:rPr>
      </w:pPr>
    </w:p>
    <w:p w:rsidR="005A6B4A" w:rsidRPr="00F17D55" w:rsidRDefault="005A6B4A" w:rsidP="00F17D55">
      <w:pPr>
        <w:spacing w:after="0" w:line="240" w:lineRule="auto"/>
        <w:jc w:val="both"/>
        <w:textAlignment w:val="baseline"/>
        <w:rPr>
          <w:rFonts w:ascii="inherit" w:eastAsia="Times New Roman" w:hAnsi="inherit" w:cs="Times New Roman"/>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Pr>
          <w:noProof/>
        </w:rPr>
        <w:lastRenderedPageBreak/>
        <w:drawing>
          <wp:inline distT="0" distB="0" distL="0" distR="0" wp14:anchorId="1D6FD1A7" wp14:editId="601146EB">
            <wp:extent cx="6120130" cy="4753036"/>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753036"/>
                    </a:xfrm>
                    <a:prstGeom prst="rect">
                      <a:avLst/>
                    </a:prstGeom>
                    <a:noFill/>
                    <a:ln>
                      <a:noFill/>
                    </a:ln>
                  </pic:spPr>
                </pic:pic>
              </a:graphicData>
            </a:graphic>
          </wp:inline>
        </w:drawing>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Pr="006D5722"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Pr="004B792E" w:rsidRDefault="004B792E" w:rsidP="004B792E">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sidRPr="004B792E">
        <w:rPr>
          <w:rFonts w:ascii="inherit" w:eastAsia="Times New Roman" w:hAnsi="inherit" w:cs="Noto Serif"/>
          <w:b/>
          <w:bCs/>
          <w:color w:val="0070C0"/>
          <w:sz w:val="29"/>
          <w:szCs w:val="29"/>
          <w:lang w:eastAsia="it-IT"/>
        </w:rPr>
        <w:t>3.</w:t>
      </w:r>
      <w:hyperlink r:id="rId25" w:history="1">
        <w:r w:rsidR="006D5722" w:rsidRPr="004B792E">
          <w:rPr>
            <w:rFonts w:ascii="inherit" w:eastAsia="Times New Roman" w:hAnsi="inherit" w:cs="Noto Serif"/>
            <w:b/>
            <w:bCs/>
            <w:color w:val="0070C0"/>
            <w:sz w:val="29"/>
            <w:szCs w:val="29"/>
            <w:bdr w:val="none" w:sz="0" w:space="0" w:color="auto" w:frame="1"/>
            <w:lang w:eastAsia="it-IT"/>
          </w:rPr>
          <w:t>Resurrezione della carne</w:t>
        </w:r>
      </w:hyperlink>
      <w:r w:rsidR="006D5722" w:rsidRPr="004B792E">
        <w:rPr>
          <w:rFonts w:ascii="inherit" w:eastAsia="Times New Roman" w:hAnsi="inherit" w:cs="Noto Serif"/>
          <w:color w:val="333333"/>
          <w:sz w:val="29"/>
          <w:szCs w:val="29"/>
          <w:lang w:eastAsia="it-IT"/>
        </w:rPr>
        <w:t>.</w:t>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Pr>
          <w:rFonts w:ascii="inherit" w:eastAsia="Times New Roman" w:hAnsi="inherit" w:cs="Noto Serif"/>
          <w:color w:val="333333"/>
          <w:sz w:val="29"/>
          <w:szCs w:val="29"/>
          <w:lang w:eastAsia="it-IT"/>
        </w:rPr>
        <w:t>Vi è il capovolgimento molto evidente dei segni funebri teschio scheletro</w:t>
      </w:r>
      <w:r w:rsidR="004B792E">
        <w:rPr>
          <w:rFonts w:ascii="inherit" w:eastAsia="Times New Roman" w:hAnsi="inherit" w:cs="Noto Serif"/>
          <w:color w:val="333333"/>
          <w:sz w:val="29"/>
          <w:szCs w:val="29"/>
          <w:lang w:eastAsia="it-IT"/>
        </w:rPr>
        <w:t>, nella simbologia penitenziale ammoniscono per il futuro (“ricordati che devi morire”) qui sono invece vestigia del passato.</w:t>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Pr>
          <w:noProof/>
        </w:rPr>
        <w:lastRenderedPageBreak/>
        <w:drawing>
          <wp:inline distT="0" distB="0" distL="0" distR="0" wp14:anchorId="7FCD9232" wp14:editId="26D74797">
            <wp:extent cx="6120130" cy="433240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332408"/>
                    </a:xfrm>
                    <a:prstGeom prst="rect">
                      <a:avLst/>
                    </a:prstGeom>
                    <a:noFill/>
                    <a:ln>
                      <a:noFill/>
                    </a:ln>
                  </pic:spPr>
                </pic:pic>
              </a:graphicData>
            </a:graphic>
          </wp:inline>
        </w:drawing>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Pr="006D5722"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Default="004B792E"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sidRPr="004B792E">
        <w:rPr>
          <w:rFonts w:ascii="inherit" w:eastAsia="Times New Roman" w:hAnsi="inherit" w:cs="Noto Serif"/>
          <w:b/>
          <w:bCs/>
          <w:color w:val="0070C0"/>
          <w:sz w:val="29"/>
          <w:szCs w:val="29"/>
          <w:lang w:eastAsia="it-IT"/>
        </w:rPr>
        <w:t xml:space="preserve">4. </w:t>
      </w:r>
      <w:hyperlink r:id="rId27" w:history="1">
        <w:r w:rsidR="006D5722" w:rsidRPr="006D5722">
          <w:rPr>
            <w:rFonts w:ascii="inherit" w:eastAsia="Times New Roman" w:hAnsi="inherit" w:cs="Noto Serif"/>
            <w:b/>
            <w:bCs/>
            <w:color w:val="0070C0"/>
            <w:sz w:val="29"/>
            <w:szCs w:val="29"/>
            <w:bdr w:val="none" w:sz="0" w:space="0" w:color="auto" w:frame="1"/>
            <w:lang w:eastAsia="it-IT"/>
          </w:rPr>
          <w:t>Salita al Paradiso e chiamata all’Inferno</w:t>
        </w:r>
      </w:hyperlink>
      <w:r w:rsidR="006D5722" w:rsidRPr="006D5722">
        <w:rPr>
          <w:rFonts w:ascii="inherit" w:eastAsia="Times New Roman" w:hAnsi="inherit" w:cs="Noto Serif"/>
          <w:color w:val="333333"/>
          <w:sz w:val="29"/>
          <w:szCs w:val="29"/>
          <w:lang w:eastAsia="it-IT"/>
        </w:rPr>
        <w:t>.</w:t>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Pr>
          <w:rFonts w:ascii="inherit" w:eastAsia="Times New Roman" w:hAnsi="inherit" w:cs="Noto Serif"/>
          <w:color w:val="333333"/>
          <w:sz w:val="29"/>
          <w:szCs w:val="29"/>
          <w:lang w:eastAsia="it-IT"/>
        </w:rPr>
        <w:t>Non esiste una vera e propria scena di giudizio</w:t>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976A3D">
      <w:pPr>
        <w:shd w:val="clear" w:color="auto" w:fill="F1F1F1"/>
        <w:spacing w:after="0" w:line="240" w:lineRule="auto"/>
        <w:jc w:val="center"/>
        <w:textAlignment w:val="baseline"/>
        <w:rPr>
          <w:rFonts w:ascii="inherit" w:eastAsia="Times New Roman" w:hAnsi="inherit" w:cs="Noto Serif"/>
          <w:color w:val="333333"/>
          <w:sz w:val="29"/>
          <w:szCs w:val="29"/>
          <w:lang w:eastAsia="it-IT"/>
        </w:rPr>
      </w:pPr>
      <w:r>
        <w:rPr>
          <w:noProof/>
        </w:rPr>
        <w:lastRenderedPageBreak/>
        <w:drawing>
          <wp:inline distT="0" distB="0" distL="0" distR="0" wp14:anchorId="5FB1DAA3" wp14:editId="701FFFB0">
            <wp:extent cx="7169294" cy="509397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94564" cy="5111925"/>
                    </a:xfrm>
                    <a:prstGeom prst="rect">
                      <a:avLst/>
                    </a:prstGeom>
                    <a:noFill/>
                    <a:ln>
                      <a:noFill/>
                    </a:ln>
                  </pic:spPr>
                </pic:pic>
              </a:graphicData>
            </a:graphic>
          </wp:inline>
        </w:drawing>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Pr="006D5722"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Default="004B792E"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sidRPr="004B792E">
        <w:rPr>
          <w:rFonts w:ascii="inherit" w:eastAsia="Times New Roman" w:hAnsi="inherit" w:cs="Noto Serif"/>
          <w:b/>
          <w:bCs/>
          <w:color w:val="0070C0"/>
          <w:sz w:val="29"/>
          <w:szCs w:val="29"/>
          <w:lang w:eastAsia="it-IT"/>
        </w:rPr>
        <w:t xml:space="preserve">5. </w:t>
      </w:r>
      <w:hyperlink r:id="rId29" w:history="1">
        <w:r w:rsidR="006D5722" w:rsidRPr="006D5722">
          <w:rPr>
            <w:rFonts w:ascii="inherit" w:eastAsia="Times New Roman" w:hAnsi="inherit" w:cs="Noto Serif"/>
            <w:b/>
            <w:bCs/>
            <w:color w:val="0070C0"/>
            <w:sz w:val="29"/>
            <w:szCs w:val="29"/>
            <w:bdr w:val="none" w:sz="0" w:space="0" w:color="auto" w:frame="1"/>
            <w:lang w:eastAsia="it-IT"/>
          </w:rPr>
          <w:t>Dannati all’Inferno</w:t>
        </w:r>
      </w:hyperlink>
      <w:r w:rsidR="006D5722" w:rsidRPr="006D5722">
        <w:rPr>
          <w:rFonts w:ascii="inherit" w:eastAsia="Times New Roman" w:hAnsi="inherit" w:cs="Noto Serif"/>
          <w:color w:val="333333"/>
          <w:sz w:val="29"/>
          <w:szCs w:val="29"/>
          <w:lang w:eastAsia="it-IT"/>
        </w:rPr>
        <w:t>.</w:t>
      </w:r>
    </w:p>
    <w:p w:rsidR="00976A3D" w:rsidRPr="004B792E" w:rsidRDefault="004B792E" w:rsidP="006D5722">
      <w:pPr>
        <w:shd w:val="clear" w:color="auto" w:fill="F1F1F1"/>
        <w:spacing w:after="0" w:line="240" w:lineRule="auto"/>
        <w:jc w:val="both"/>
        <w:textAlignment w:val="baseline"/>
        <w:rPr>
          <w:rFonts w:ascii="inherit" w:eastAsia="Times New Roman" w:hAnsi="inherit" w:cs="Noto Serif"/>
          <w:color w:val="000000" w:themeColor="text1"/>
          <w:sz w:val="29"/>
          <w:szCs w:val="29"/>
          <w:lang w:eastAsia="it-IT"/>
        </w:rPr>
      </w:pPr>
      <w:r>
        <w:rPr>
          <w:rFonts w:ascii="inherit" w:eastAsia="Times New Roman" w:hAnsi="inherit" w:cs="Noto Serif"/>
          <w:color w:val="333333"/>
          <w:sz w:val="29"/>
          <w:szCs w:val="29"/>
          <w:lang w:eastAsia="it-IT"/>
        </w:rPr>
        <w:t>Umanizzazione del corpo degli stessi diavoli e mantenimento del</w:t>
      </w:r>
      <w:r w:rsidR="003C35C7">
        <w:rPr>
          <w:rFonts w:ascii="inherit" w:eastAsia="Times New Roman" w:hAnsi="inherit" w:cs="Noto Serif"/>
          <w:color w:val="333333"/>
          <w:sz w:val="29"/>
          <w:szCs w:val="29"/>
          <w:lang w:eastAsia="it-IT"/>
        </w:rPr>
        <w:t>l’</w:t>
      </w:r>
      <w:r>
        <w:rPr>
          <w:rFonts w:ascii="inherit" w:eastAsia="Times New Roman" w:hAnsi="inherit" w:cs="Noto Serif"/>
          <w:color w:val="333333"/>
          <w:sz w:val="29"/>
          <w:szCs w:val="29"/>
          <w:lang w:eastAsia="it-IT"/>
        </w:rPr>
        <w:t>aspetto umano anche dei dannati. Un groviglio corporeo</w:t>
      </w:r>
      <w:r w:rsidR="003C35C7">
        <w:rPr>
          <w:rFonts w:ascii="inherit" w:eastAsia="Times New Roman" w:hAnsi="inherit" w:cs="Noto Serif"/>
          <w:color w:val="333333"/>
          <w:sz w:val="29"/>
          <w:szCs w:val="29"/>
          <w:lang w:eastAsia="it-IT"/>
        </w:rPr>
        <w:t xml:space="preserve"> che consente anc</w:t>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r>
        <w:rPr>
          <w:noProof/>
        </w:rPr>
        <w:lastRenderedPageBreak/>
        <w:drawing>
          <wp:inline distT="0" distB="0" distL="0" distR="0" wp14:anchorId="49E79B88" wp14:editId="24F14016">
            <wp:extent cx="6576862" cy="4551881"/>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3582" cy="4556532"/>
                    </a:xfrm>
                    <a:prstGeom prst="rect">
                      <a:avLst/>
                    </a:prstGeom>
                    <a:noFill/>
                    <a:ln>
                      <a:noFill/>
                    </a:ln>
                  </pic:spPr>
                </pic:pic>
              </a:graphicData>
            </a:graphic>
          </wp:inline>
        </w:drawing>
      </w:r>
    </w:p>
    <w:p w:rsidR="00976A3D"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976A3D" w:rsidRPr="006D5722" w:rsidRDefault="00976A3D"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hyperlink r:id="rId31" w:history="1">
        <w:r w:rsidRPr="006D5722">
          <w:rPr>
            <w:rFonts w:ascii="inherit" w:eastAsia="Times New Roman" w:hAnsi="inherit" w:cs="Noto Serif"/>
            <w:color w:val="333333"/>
            <w:sz w:val="29"/>
            <w:szCs w:val="29"/>
            <w:bdr w:val="none" w:sz="0" w:space="0" w:color="auto" w:frame="1"/>
            <w:lang w:eastAsia="it-IT"/>
          </w:rPr>
          <w:t xml:space="preserve">Beati </w:t>
        </w:r>
        <w:r w:rsidR="003C35C7">
          <w:rPr>
            <w:rFonts w:ascii="inherit" w:eastAsia="Times New Roman" w:hAnsi="inherit" w:cs="Noto Serif"/>
            <w:color w:val="333333"/>
            <w:sz w:val="29"/>
            <w:szCs w:val="29"/>
            <w:bdr w:val="none" w:sz="0" w:space="0" w:color="auto" w:frame="1"/>
            <w:lang w:eastAsia="it-IT"/>
          </w:rPr>
          <w:t>in (o verso) il</w:t>
        </w:r>
        <w:r w:rsidRPr="006D5722">
          <w:rPr>
            <w:rFonts w:ascii="inherit" w:eastAsia="Times New Roman" w:hAnsi="inherit" w:cs="Noto Serif"/>
            <w:color w:val="333333"/>
            <w:sz w:val="29"/>
            <w:szCs w:val="29"/>
            <w:bdr w:val="none" w:sz="0" w:space="0" w:color="auto" w:frame="1"/>
            <w:lang w:eastAsia="it-IT"/>
          </w:rPr>
          <w:t xml:space="preserve"> Paradiso</w:t>
        </w:r>
      </w:hyperlink>
      <w:r w:rsidR="003C35C7">
        <w:rPr>
          <w:rFonts w:ascii="inherit" w:eastAsia="Times New Roman" w:hAnsi="inherit" w:cs="Noto Serif"/>
          <w:color w:val="333333"/>
          <w:sz w:val="29"/>
          <w:szCs w:val="29"/>
          <w:lang w:eastAsia="it-IT"/>
        </w:rPr>
        <w:t>. La nudità e la differenza sessuale contraddistingue anche i beati</w:t>
      </w: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6D5722" w:rsidRPr="006D5722" w:rsidRDefault="006D5722" w:rsidP="006D5722">
      <w:pPr>
        <w:shd w:val="clear" w:color="auto" w:fill="F1F1F1"/>
        <w:spacing w:after="0" w:line="240" w:lineRule="auto"/>
        <w:jc w:val="both"/>
        <w:textAlignment w:val="baseline"/>
        <w:rPr>
          <w:rFonts w:ascii="inherit" w:eastAsia="Times New Roman" w:hAnsi="inherit" w:cs="Noto Serif"/>
          <w:color w:val="333333"/>
          <w:sz w:val="29"/>
          <w:szCs w:val="29"/>
          <w:lang w:eastAsia="it-IT"/>
        </w:rPr>
      </w:pPr>
    </w:p>
    <w:p w:rsidR="00A503BE" w:rsidRDefault="003C35C7">
      <w:r>
        <w:rPr>
          <w:noProof/>
        </w:rPr>
        <w:lastRenderedPageBreak/>
        <w:drawing>
          <wp:inline distT="0" distB="0" distL="0" distR="0" wp14:anchorId="37E3B37E" wp14:editId="3B68C07E">
            <wp:extent cx="7967070" cy="5482603"/>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95401" cy="5502099"/>
                    </a:xfrm>
                    <a:prstGeom prst="rect">
                      <a:avLst/>
                    </a:prstGeom>
                    <a:noFill/>
                    <a:ln>
                      <a:noFill/>
                    </a:ln>
                  </pic:spPr>
                </pic:pic>
              </a:graphicData>
            </a:graphic>
          </wp:inline>
        </w:drawing>
      </w:r>
    </w:p>
    <w:sectPr w:rsidR="00A503B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Noto Serif">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D1AA6"/>
    <w:multiLevelType w:val="multilevel"/>
    <w:tmpl w:val="2E30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BF125C2"/>
    <w:multiLevelType w:val="hybridMultilevel"/>
    <w:tmpl w:val="57A86320"/>
    <w:lvl w:ilvl="0" w:tplc="E926EBD8">
      <w:start w:val="1"/>
      <w:numFmt w:val="decimal"/>
      <w:lvlText w:val="%1."/>
      <w:lvlJc w:val="left"/>
      <w:pPr>
        <w:ind w:left="720" w:hanging="360"/>
      </w:pPr>
      <w:rPr>
        <w:rFonts w:hint="default"/>
        <w:b/>
        <w:color w:val="0070C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51117014">
    <w:abstractNumId w:val="0"/>
  </w:num>
  <w:num w:numId="2" w16cid:durableId="1465537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722"/>
    <w:rsid w:val="00130341"/>
    <w:rsid w:val="001C2B83"/>
    <w:rsid w:val="003C35C7"/>
    <w:rsid w:val="004B792E"/>
    <w:rsid w:val="005A6B4A"/>
    <w:rsid w:val="006D5722"/>
    <w:rsid w:val="00783CD0"/>
    <w:rsid w:val="00826780"/>
    <w:rsid w:val="00903426"/>
    <w:rsid w:val="00976A3D"/>
    <w:rsid w:val="009906A4"/>
    <w:rsid w:val="00A503BE"/>
    <w:rsid w:val="00AC3F1A"/>
    <w:rsid w:val="00DE33D1"/>
    <w:rsid w:val="00DE3D18"/>
    <w:rsid w:val="00EA077C"/>
    <w:rsid w:val="00EF3C9B"/>
    <w:rsid w:val="00F131DB"/>
    <w:rsid w:val="00F17D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2CF8F"/>
  <w15:chartTrackingRefBased/>
  <w15:docId w15:val="{966CE134-24C0-4EC1-A880-08A54608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B792E"/>
    <w:pPr>
      <w:ind w:left="720"/>
      <w:contextualSpacing/>
    </w:pPr>
  </w:style>
  <w:style w:type="paragraph" w:customStyle="1" w:styleId="style10">
    <w:name w:val="style10"/>
    <w:basedOn w:val="Normale"/>
    <w:rsid w:val="00F17D5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tyle15">
    <w:name w:val="style15"/>
    <w:basedOn w:val="Carpredefinitoparagrafo"/>
    <w:rsid w:val="00F17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97702">
      <w:bodyDiv w:val="1"/>
      <w:marLeft w:val="0"/>
      <w:marRight w:val="0"/>
      <w:marTop w:val="0"/>
      <w:marBottom w:val="0"/>
      <w:divBdr>
        <w:top w:val="none" w:sz="0" w:space="0" w:color="auto"/>
        <w:left w:val="none" w:sz="0" w:space="0" w:color="auto"/>
        <w:bottom w:val="none" w:sz="0" w:space="0" w:color="auto"/>
        <w:right w:val="none" w:sz="0" w:space="0" w:color="auto"/>
      </w:divBdr>
      <w:divsChild>
        <w:div w:id="121269488">
          <w:marLeft w:val="5925"/>
          <w:marRight w:val="0"/>
          <w:marTop w:val="0"/>
          <w:marBottom w:val="0"/>
          <w:divBdr>
            <w:top w:val="none" w:sz="0" w:space="0" w:color="auto"/>
            <w:left w:val="none" w:sz="0" w:space="0" w:color="auto"/>
            <w:bottom w:val="none" w:sz="0" w:space="0" w:color="auto"/>
            <w:right w:val="none" w:sz="0" w:space="0" w:color="auto"/>
          </w:divBdr>
          <w:divsChild>
            <w:div w:id="267666730">
              <w:marLeft w:val="0"/>
              <w:marRight w:val="0"/>
              <w:marTop w:val="0"/>
              <w:marBottom w:val="0"/>
              <w:divBdr>
                <w:top w:val="none" w:sz="0" w:space="0" w:color="auto"/>
                <w:left w:val="none" w:sz="0" w:space="0" w:color="auto"/>
                <w:bottom w:val="none" w:sz="0" w:space="0" w:color="auto"/>
                <w:right w:val="none" w:sz="0" w:space="0" w:color="auto"/>
              </w:divBdr>
              <w:divsChild>
                <w:div w:id="1793550253">
                  <w:marLeft w:val="0"/>
                  <w:marRight w:val="0"/>
                  <w:marTop w:val="0"/>
                  <w:marBottom w:val="0"/>
                  <w:divBdr>
                    <w:top w:val="none" w:sz="0" w:space="0" w:color="auto"/>
                    <w:left w:val="none" w:sz="0" w:space="0" w:color="auto"/>
                    <w:bottom w:val="none" w:sz="0" w:space="0" w:color="auto"/>
                    <w:right w:val="none" w:sz="0" w:space="0" w:color="auto"/>
                  </w:divBdr>
                  <w:divsChild>
                    <w:div w:id="1613854568">
                      <w:marLeft w:val="0"/>
                      <w:marRight w:val="0"/>
                      <w:marTop w:val="0"/>
                      <w:marBottom w:val="0"/>
                      <w:divBdr>
                        <w:top w:val="none" w:sz="0" w:space="0" w:color="auto"/>
                        <w:left w:val="none" w:sz="0" w:space="0" w:color="auto"/>
                        <w:bottom w:val="none" w:sz="0" w:space="0" w:color="auto"/>
                        <w:right w:val="none" w:sz="0" w:space="0" w:color="auto"/>
                      </w:divBdr>
                      <w:divsChild>
                        <w:div w:id="1213619416">
                          <w:marLeft w:val="0"/>
                          <w:marRight w:val="0"/>
                          <w:marTop w:val="0"/>
                          <w:marBottom w:val="0"/>
                          <w:divBdr>
                            <w:top w:val="none" w:sz="0" w:space="0" w:color="auto"/>
                            <w:left w:val="none" w:sz="0" w:space="0" w:color="auto"/>
                            <w:bottom w:val="none" w:sz="0" w:space="0" w:color="auto"/>
                            <w:right w:val="none" w:sz="0" w:space="0" w:color="auto"/>
                          </w:divBdr>
                          <w:divsChild>
                            <w:div w:id="1399859548">
                              <w:marLeft w:val="0"/>
                              <w:marRight w:val="0"/>
                              <w:marTop w:val="0"/>
                              <w:marBottom w:val="0"/>
                              <w:divBdr>
                                <w:top w:val="none" w:sz="0" w:space="0" w:color="auto"/>
                                <w:left w:val="none" w:sz="0" w:space="0" w:color="auto"/>
                                <w:bottom w:val="none" w:sz="0" w:space="0" w:color="auto"/>
                                <w:right w:val="none" w:sz="0" w:space="0" w:color="auto"/>
                              </w:divBdr>
                              <w:divsChild>
                                <w:div w:id="1762482341">
                                  <w:marLeft w:val="0"/>
                                  <w:marRight w:val="0"/>
                                  <w:marTop w:val="0"/>
                                  <w:marBottom w:val="0"/>
                                  <w:divBdr>
                                    <w:top w:val="none" w:sz="0" w:space="0" w:color="auto"/>
                                    <w:left w:val="none" w:sz="0" w:space="0" w:color="auto"/>
                                    <w:bottom w:val="none" w:sz="0" w:space="0" w:color="auto"/>
                                    <w:right w:val="none" w:sz="0" w:space="0" w:color="auto"/>
                                  </w:divBdr>
                                  <w:divsChild>
                                    <w:div w:id="3823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7686">
                              <w:marLeft w:val="0"/>
                              <w:marRight w:val="0"/>
                              <w:marTop w:val="0"/>
                              <w:marBottom w:val="0"/>
                              <w:divBdr>
                                <w:top w:val="none" w:sz="0" w:space="0" w:color="auto"/>
                                <w:left w:val="none" w:sz="0" w:space="0" w:color="auto"/>
                                <w:bottom w:val="none" w:sz="0" w:space="0" w:color="auto"/>
                                <w:right w:val="none" w:sz="0" w:space="0" w:color="auto"/>
                              </w:divBdr>
                              <w:divsChild>
                                <w:div w:id="890271759">
                                  <w:marLeft w:val="0"/>
                                  <w:marRight w:val="0"/>
                                  <w:marTop w:val="0"/>
                                  <w:marBottom w:val="0"/>
                                  <w:divBdr>
                                    <w:top w:val="none" w:sz="0" w:space="0" w:color="auto"/>
                                    <w:left w:val="none" w:sz="0" w:space="0" w:color="auto"/>
                                    <w:bottom w:val="none" w:sz="0" w:space="0" w:color="auto"/>
                                    <w:right w:val="none" w:sz="0" w:space="0" w:color="auto"/>
                                  </w:divBdr>
                                </w:div>
                              </w:divsChild>
                            </w:div>
                            <w:div w:id="493229202">
                              <w:marLeft w:val="0"/>
                              <w:marRight w:val="0"/>
                              <w:marTop w:val="0"/>
                              <w:marBottom w:val="0"/>
                              <w:divBdr>
                                <w:top w:val="none" w:sz="0" w:space="0" w:color="auto"/>
                                <w:left w:val="none" w:sz="0" w:space="0" w:color="auto"/>
                                <w:bottom w:val="none" w:sz="0" w:space="0" w:color="auto"/>
                                <w:right w:val="none" w:sz="0" w:space="0" w:color="auto"/>
                              </w:divBdr>
                              <w:divsChild>
                                <w:div w:id="548616116">
                                  <w:marLeft w:val="0"/>
                                  <w:marRight w:val="0"/>
                                  <w:marTop w:val="0"/>
                                  <w:marBottom w:val="0"/>
                                  <w:divBdr>
                                    <w:top w:val="none" w:sz="0" w:space="0" w:color="auto"/>
                                    <w:left w:val="none" w:sz="0" w:space="0" w:color="auto"/>
                                    <w:bottom w:val="none" w:sz="0" w:space="0" w:color="auto"/>
                                    <w:right w:val="none" w:sz="0" w:space="0" w:color="auto"/>
                                  </w:divBdr>
                                </w:div>
                              </w:divsChild>
                            </w:div>
                            <w:div w:id="1820535069">
                              <w:marLeft w:val="0"/>
                              <w:marRight w:val="0"/>
                              <w:marTop w:val="0"/>
                              <w:marBottom w:val="0"/>
                              <w:divBdr>
                                <w:top w:val="none" w:sz="0" w:space="0" w:color="auto"/>
                                <w:left w:val="none" w:sz="0" w:space="0" w:color="auto"/>
                                <w:bottom w:val="none" w:sz="0" w:space="0" w:color="auto"/>
                                <w:right w:val="none" w:sz="0" w:space="0" w:color="auto"/>
                              </w:divBdr>
                              <w:divsChild>
                                <w:div w:id="902108484">
                                  <w:marLeft w:val="0"/>
                                  <w:marRight w:val="0"/>
                                  <w:marTop w:val="0"/>
                                  <w:marBottom w:val="0"/>
                                  <w:divBdr>
                                    <w:top w:val="none" w:sz="0" w:space="0" w:color="auto"/>
                                    <w:left w:val="none" w:sz="0" w:space="0" w:color="auto"/>
                                    <w:bottom w:val="none" w:sz="0" w:space="0" w:color="auto"/>
                                    <w:right w:val="none" w:sz="0" w:space="0" w:color="auto"/>
                                  </w:divBdr>
                                </w:div>
                              </w:divsChild>
                            </w:div>
                            <w:div w:id="317537591">
                              <w:marLeft w:val="0"/>
                              <w:marRight w:val="0"/>
                              <w:marTop w:val="0"/>
                              <w:marBottom w:val="0"/>
                              <w:divBdr>
                                <w:top w:val="none" w:sz="0" w:space="0" w:color="auto"/>
                                <w:left w:val="none" w:sz="0" w:space="0" w:color="auto"/>
                                <w:bottom w:val="none" w:sz="0" w:space="0" w:color="auto"/>
                                <w:right w:val="none" w:sz="0" w:space="0" w:color="auto"/>
                              </w:divBdr>
                              <w:divsChild>
                                <w:div w:id="1369531393">
                                  <w:marLeft w:val="0"/>
                                  <w:marRight w:val="0"/>
                                  <w:marTop w:val="0"/>
                                  <w:marBottom w:val="0"/>
                                  <w:divBdr>
                                    <w:top w:val="none" w:sz="0" w:space="0" w:color="auto"/>
                                    <w:left w:val="none" w:sz="0" w:space="0" w:color="auto"/>
                                    <w:bottom w:val="none" w:sz="0" w:space="0" w:color="auto"/>
                                    <w:right w:val="none" w:sz="0" w:space="0" w:color="auto"/>
                                  </w:divBdr>
                                </w:div>
                              </w:divsChild>
                            </w:div>
                            <w:div w:id="1432894910">
                              <w:marLeft w:val="0"/>
                              <w:marRight w:val="0"/>
                              <w:marTop w:val="0"/>
                              <w:marBottom w:val="0"/>
                              <w:divBdr>
                                <w:top w:val="none" w:sz="0" w:space="0" w:color="auto"/>
                                <w:left w:val="none" w:sz="0" w:space="0" w:color="auto"/>
                                <w:bottom w:val="none" w:sz="0" w:space="0" w:color="auto"/>
                                <w:right w:val="none" w:sz="0" w:space="0" w:color="auto"/>
                              </w:divBdr>
                              <w:divsChild>
                                <w:div w:id="2129428378">
                                  <w:marLeft w:val="0"/>
                                  <w:marRight w:val="0"/>
                                  <w:marTop w:val="0"/>
                                  <w:marBottom w:val="0"/>
                                  <w:divBdr>
                                    <w:top w:val="none" w:sz="0" w:space="0" w:color="auto"/>
                                    <w:left w:val="none" w:sz="0" w:space="0" w:color="auto"/>
                                    <w:bottom w:val="none" w:sz="0" w:space="0" w:color="auto"/>
                                    <w:right w:val="none" w:sz="0" w:space="0" w:color="auto"/>
                                  </w:divBdr>
                                </w:div>
                              </w:divsChild>
                            </w:div>
                            <w:div w:id="1982424844">
                              <w:marLeft w:val="0"/>
                              <w:marRight w:val="0"/>
                              <w:marTop w:val="0"/>
                              <w:marBottom w:val="0"/>
                              <w:divBdr>
                                <w:top w:val="none" w:sz="0" w:space="0" w:color="auto"/>
                                <w:left w:val="none" w:sz="0" w:space="0" w:color="auto"/>
                                <w:bottom w:val="none" w:sz="0" w:space="0" w:color="auto"/>
                                <w:right w:val="none" w:sz="0" w:space="0" w:color="auto"/>
                              </w:divBdr>
                              <w:divsChild>
                                <w:div w:id="924067666">
                                  <w:marLeft w:val="0"/>
                                  <w:marRight w:val="0"/>
                                  <w:marTop w:val="0"/>
                                  <w:marBottom w:val="0"/>
                                  <w:divBdr>
                                    <w:top w:val="none" w:sz="0" w:space="0" w:color="auto"/>
                                    <w:left w:val="none" w:sz="0" w:space="0" w:color="auto"/>
                                    <w:bottom w:val="none" w:sz="0" w:space="0" w:color="auto"/>
                                    <w:right w:val="none" w:sz="0" w:space="0" w:color="auto"/>
                                  </w:divBdr>
                                </w:div>
                              </w:divsChild>
                            </w:div>
                            <w:div w:id="78796275">
                              <w:marLeft w:val="0"/>
                              <w:marRight w:val="0"/>
                              <w:marTop w:val="0"/>
                              <w:marBottom w:val="0"/>
                              <w:divBdr>
                                <w:top w:val="none" w:sz="0" w:space="0" w:color="auto"/>
                                <w:left w:val="none" w:sz="0" w:space="0" w:color="auto"/>
                                <w:bottom w:val="none" w:sz="0" w:space="0" w:color="auto"/>
                                <w:right w:val="none" w:sz="0" w:space="0" w:color="auto"/>
                              </w:divBdr>
                              <w:divsChild>
                                <w:div w:id="1313145483">
                                  <w:marLeft w:val="0"/>
                                  <w:marRight w:val="0"/>
                                  <w:marTop w:val="0"/>
                                  <w:marBottom w:val="0"/>
                                  <w:divBdr>
                                    <w:top w:val="none" w:sz="0" w:space="0" w:color="auto"/>
                                    <w:left w:val="none" w:sz="0" w:space="0" w:color="auto"/>
                                    <w:bottom w:val="none" w:sz="0" w:space="0" w:color="auto"/>
                                    <w:right w:val="none" w:sz="0" w:space="0" w:color="auto"/>
                                  </w:divBdr>
                                </w:div>
                              </w:divsChild>
                            </w:div>
                            <w:div w:id="1904830451">
                              <w:marLeft w:val="0"/>
                              <w:marRight w:val="0"/>
                              <w:marTop w:val="0"/>
                              <w:marBottom w:val="0"/>
                              <w:divBdr>
                                <w:top w:val="none" w:sz="0" w:space="0" w:color="auto"/>
                                <w:left w:val="none" w:sz="0" w:space="0" w:color="auto"/>
                                <w:bottom w:val="none" w:sz="0" w:space="0" w:color="auto"/>
                                <w:right w:val="none" w:sz="0" w:space="0" w:color="auto"/>
                              </w:divBdr>
                              <w:divsChild>
                                <w:div w:id="1538082740">
                                  <w:marLeft w:val="0"/>
                                  <w:marRight w:val="0"/>
                                  <w:marTop w:val="0"/>
                                  <w:marBottom w:val="0"/>
                                  <w:divBdr>
                                    <w:top w:val="none" w:sz="0" w:space="0" w:color="auto"/>
                                    <w:left w:val="none" w:sz="0" w:space="0" w:color="auto"/>
                                    <w:bottom w:val="none" w:sz="0" w:space="0" w:color="auto"/>
                                    <w:right w:val="none" w:sz="0" w:space="0" w:color="auto"/>
                                  </w:divBdr>
                                </w:div>
                              </w:divsChild>
                            </w:div>
                            <w:div w:id="335302058">
                              <w:marLeft w:val="0"/>
                              <w:marRight w:val="0"/>
                              <w:marTop w:val="0"/>
                              <w:marBottom w:val="0"/>
                              <w:divBdr>
                                <w:top w:val="none" w:sz="0" w:space="0" w:color="auto"/>
                                <w:left w:val="none" w:sz="0" w:space="0" w:color="auto"/>
                                <w:bottom w:val="none" w:sz="0" w:space="0" w:color="auto"/>
                                <w:right w:val="none" w:sz="0" w:space="0" w:color="auto"/>
                              </w:divBdr>
                              <w:divsChild>
                                <w:div w:id="1982496450">
                                  <w:marLeft w:val="0"/>
                                  <w:marRight w:val="0"/>
                                  <w:marTop w:val="0"/>
                                  <w:marBottom w:val="0"/>
                                  <w:divBdr>
                                    <w:top w:val="none" w:sz="0" w:space="0" w:color="auto"/>
                                    <w:left w:val="none" w:sz="0" w:space="0" w:color="auto"/>
                                    <w:bottom w:val="none" w:sz="0" w:space="0" w:color="auto"/>
                                    <w:right w:val="none" w:sz="0" w:space="0" w:color="auto"/>
                                  </w:divBdr>
                                </w:div>
                              </w:divsChild>
                            </w:div>
                            <w:div w:id="1697150813">
                              <w:marLeft w:val="0"/>
                              <w:marRight w:val="0"/>
                              <w:marTop w:val="0"/>
                              <w:marBottom w:val="0"/>
                              <w:divBdr>
                                <w:top w:val="none" w:sz="0" w:space="0" w:color="auto"/>
                                <w:left w:val="none" w:sz="0" w:space="0" w:color="auto"/>
                                <w:bottom w:val="none" w:sz="0" w:space="0" w:color="auto"/>
                                <w:right w:val="none" w:sz="0" w:space="0" w:color="auto"/>
                              </w:divBdr>
                              <w:divsChild>
                                <w:div w:id="202795465">
                                  <w:marLeft w:val="0"/>
                                  <w:marRight w:val="0"/>
                                  <w:marTop w:val="0"/>
                                  <w:marBottom w:val="0"/>
                                  <w:divBdr>
                                    <w:top w:val="none" w:sz="0" w:space="0" w:color="auto"/>
                                    <w:left w:val="none" w:sz="0" w:space="0" w:color="auto"/>
                                    <w:bottom w:val="none" w:sz="0" w:space="0" w:color="auto"/>
                                    <w:right w:val="none" w:sz="0" w:space="0" w:color="auto"/>
                                  </w:divBdr>
                                </w:div>
                              </w:divsChild>
                            </w:div>
                            <w:div w:id="308286361">
                              <w:marLeft w:val="0"/>
                              <w:marRight w:val="0"/>
                              <w:marTop w:val="0"/>
                              <w:marBottom w:val="0"/>
                              <w:divBdr>
                                <w:top w:val="none" w:sz="0" w:space="0" w:color="auto"/>
                                <w:left w:val="none" w:sz="0" w:space="0" w:color="auto"/>
                                <w:bottom w:val="none" w:sz="0" w:space="0" w:color="auto"/>
                                <w:right w:val="none" w:sz="0" w:space="0" w:color="auto"/>
                              </w:divBdr>
                              <w:divsChild>
                                <w:div w:id="1411271282">
                                  <w:marLeft w:val="0"/>
                                  <w:marRight w:val="0"/>
                                  <w:marTop w:val="0"/>
                                  <w:marBottom w:val="0"/>
                                  <w:divBdr>
                                    <w:top w:val="none" w:sz="0" w:space="0" w:color="auto"/>
                                    <w:left w:val="none" w:sz="0" w:space="0" w:color="auto"/>
                                    <w:bottom w:val="none" w:sz="0" w:space="0" w:color="auto"/>
                                    <w:right w:val="none" w:sz="0" w:space="0" w:color="auto"/>
                                  </w:divBdr>
                                </w:div>
                              </w:divsChild>
                            </w:div>
                            <w:div w:id="1318725896">
                              <w:marLeft w:val="0"/>
                              <w:marRight w:val="0"/>
                              <w:marTop w:val="0"/>
                              <w:marBottom w:val="0"/>
                              <w:divBdr>
                                <w:top w:val="none" w:sz="0" w:space="0" w:color="auto"/>
                                <w:left w:val="none" w:sz="0" w:space="0" w:color="auto"/>
                                <w:bottom w:val="none" w:sz="0" w:space="0" w:color="auto"/>
                                <w:right w:val="none" w:sz="0" w:space="0" w:color="auto"/>
                              </w:divBdr>
                              <w:divsChild>
                                <w:div w:id="1815297651">
                                  <w:marLeft w:val="0"/>
                                  <w:marRight w:val="0"/>
                                  <w:marTop w:val="0"/>
                                  <w:marBottom w:val="0"/>
                                  <w:divBdr>
                                    <w:top w:val="none" w:sz="0" w:space="0" w:color="auto"/>
                                    <w:left w:val="none" w:sz="0" w:space="0" w:color="auto"/>
                                    <w:bottom w:val="none" w:sz="0" w:space="0" w:color="auto"/>
                                    <w:right w:val="none" w:sz="0" w:space="0" w:color="auto"/>
                                  </w:divBdr>
                                </w:div>
                              </w:divsChild>
                            </w:div>
                            <w:div w:id="337539509">
                              <w:marLeft w:val="0"/>
                              <w:marRight w:val="0"/>
                              <w:marTop w:val="0"/>
                              <w:marBottom w:val="0"/>
                              <w:divBdr>
                                <w:top w:val="none" w:sz="0" w:space="0" w:color="auto"/>
                                <w:left w:val="none" w:sz="0" w:space="0" w:color="auto"/>
                                <w:bottom w:val="none" w:sz="0" w:space="0" w:color="auto"/>
                                <w:right w:val="none" w:sz="0" w:space="0" w:color="auto"/>
                              </w:divBdr>
                              <w:divsChild>
                                <w:div w:id="575944908">
                                  <w:marLeft w:val="0"/>
                                  <w:marRight w:val="0"/>
                                  <w:marTop w:val="0"/>
                                  <w:marBottom w:val="0"/>
                                  <w:divBdr>
                                    <w:top w:val="none" w:sz="0" w:space="0" w:color="auto"/>
                                    <w:left w:val="none" w:sz="0" w:space="0" w:color="auto"/>
                                    <w:bottom w:val="none" w:sz="0" w:space="0" w:color="auto"/>
                                    <w:right w:val="none" w:sz="0" w:space="0" w:color="auto"/>
                                  </w:divBdr>
                                </w:div>
                              </w:divsChild>
                            </w:div>
                            <w:div w:id="1437628411">
                              <w:marLeft w:val="0"/>
                              <w:marRight w:val="0"/>
                              <w:marTop w:val="0"/>
                              <w:marBottom w:val="0"/>
                              <w:divBdr>
                                <w:top w:val="none" w:sz="0" w:space="0" w:color="auto"/>
                                <w:left w:val="none" w:sz="0" w:space="0" w:color="auto"/>
                                <w:bottom w:val="none" w:sz="0" w:space="0" w:color="auto"/>
                                <w:right w:val="none" w:sz="0" w:space="0" w:color="auto"/>
                              </w:divBdr>
                              <w:divsChild>
                                <w:div w:id="1775980495">
                                  <w:marLeft w:val="0"/>
                                  <w:marRight w:val="0"/>
                                  <w:marTop w:val="0"/>
                                  <w:marBottom w:val="0"/>
                                  <w:divBdr>
                                    <w:top w:val="none" w:sz="0" w:space="0" w:color="auto"/>
                                    <w:left w:val="none" w:sz="0" w:space="0" w:color="auto"/>
                                    <w:bottom w:val="none" w:sz="0" w:space="0" w:color="auto"/>
                                    <w:right w:val="none" w:sz="0" w:space="0" w:color="auto"/>
                                  </w:divBdr>
                                </w:div>
                              </w:divsChild>
                            </w:div>
                            <w:div w:id="2127697346">
                              <w:marLeft w:val="0"/>
                              <w:marRight w:val="0"/>
                              <w:marTop w:val="0"/>
                              <w:marBottom w:val="0"/>
                              <w:divBdr>
                                <w:top w:val="none" w:sz="0" w:space="0" w:color="auto"/>
                                <w:left w:val="none" w:sz="0" w:space="0" w:color="auto"/>
                                <w:bottom w:val="none" w:sz="0" w:space="0" w:color="auto"/>
                                <w:right w:val="none" w:sz="0" w:space="0" w:color="auto"/>
                              </w:divBdr>
                              <w:divsChild>
                                <w:div w:id="2066684192">
                                  <w:marLeft w:val="0"/>
                                  <w:marRight w:val="0"/>
                                  <w:marTop w:val="0"/>
                                  <w:marBottom w:val="0"/>
                                  <w:divBdr>
                                    <w:top w:val="none" w:sz="0" w:space="0" w:color="auto"/>
                                    <w:left w:val="none" w:sz="0" w:space="0" w:color="auto"/>
                                    <w:bottom w:val="none" w:sz="0" w:space="0" w:color="auto"/>
                                    <w:right w:val="none" w:sz="0" w:space="0" w:color="auto"/>
                                  </w:divBdr>
                                </w:div>
                                <w:div w:id="1932426053">
                                  <w:marLeft w:val="0"/>
                                  <w:marRight w:val="0"/>
                                  <w:marTop w:val="0"/>
                                  <w:marBottom w:val="0"/>
                                  <w:divBdr>
                                    <w:top w:val="none" w:sz="0" w:space="0" w:color="auto"/>
                                    <w:left w:val="none" w:sz="0" w:space="0" w:color="auto"/>
                                    <w:bottom w:val="none" w:sz="0" w:space="0" w:color="auto"/>
                                    <w:right w:val="none" w:sz="0" w:space="0" w:color="auto"/>
                                  </w:divBdr>
                                </w:div>
                                <w:div w:id="742412582">
                                  <w:marLeft w:val="0"/>
                                  <w:marRight w:val="0"/>
                                  <w:marTop w:val="0"/>
                                  <w:marBottom w:val="0"/>
                                  <w:divBdr>
                                    <w:top w:val="none" w:sz="0" w:space="0" w:color="auto"/>
                                    <w:left w:val="none" w:sz="0" w:space="0" w:color="auto"/>
                                    <w:bottom w:val="none" w:sz="0" w:space="0" w:color="auto"/>
                                    <w:right w:val="none" w:sz="0" w:space="0" w:color="auto"/>
                                  </w:divBdr>
                                </w:div>
                                <w:div w:id="126577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03342">
                  <w:marLeft w:val="1185"/>
                  <w:marRight w:val="1185"/>
                  <w:marTop w:val="1185"/>
                  <w:marBottom w:val="0"/>
                  <w:divBdr>
                    <w:top w:val="none" w:sz="0" w:space="0" w:color="auto"/>
                    <w:left w:val="none" w:sz="0" w:space="0" w:color="auto"/>
                    <w:bottom w:val="none" w:sz="0" w:space="0" w:color="auto"/>
                    <w:right w:val="none" w:sz="0" w:space="0" w:color="auto"/>
                  </w:divBdr>
                  <w:divsChild>
                    <w:div w:id="1855924593">
                      <w:marLeft w:val="0"/>
                      <w:marRight w:val="0"/>
                      <w:marTop w:val="0"/>
                      <w:marBottom w:val="0"/>
                      <w:divBdr>
                        <w:top w:val="none" w:sz="0" w:space="0" w:color="auto"/>
                        <w:left w:val="none" w:sz="0" w:space="0" w:color="auto"/>
                        <w:bottom w:val="none" w:sz="0" w:space="0" w:color="auto"/>
                        <w:right w:val="none" w:sz="0" w:space="0" w:color="auto"/>
                      </w:divBdr>
                    </w:div>
                  </w:divsChild>
                </w:div>
                <w:div w:id="126316399">
                  <w:marLeft w:val="0"/>
                  <w:marRight w:val="0"/>
                  <w:marTop w:val="0"/>
                  <w:marBottom w:val="0"/>
                  <w:divBdr>
                    <w:top w:val="none" w:sz="0" w:space="0" w:color="auto"/>
                    <w:left w:val="none" w:sz="0" w:space="0" w:color="auto"/>
                    <w:bottom w:val="none" w:sz="0" w:space="0" w:color="auto"/>
                    <w:right w:val="none" w:sz="0" w:space="0" w:color="auto"/>
                  </w:divBdr>
                  <w:divsChild>
                    <w:div w:id="1766489618">
                      <w:marLeft w:val="0"/>
                      <w:marRight w:val="0"/>
                      <w:marTop w:val="0"/>
                      <w:marBottom w:val="0"/>
                      <w:divBdr>
                        <w:top w:val="none" w:sz="0" w:space="0" w:color="auto"/>
                        <w:left w:val="none" w:sz="0" w:space="0" w:color="auto"/>
                        <w:bottom w:val="none" w:sz="0" w:space="0" w:color="auto"/>
                        <w:right w:val="none" w:sz="0" w:space="0" w:color="auto"/>
                      </w:divBdr>
                    </w:div>
                    <w:div w:id="598880073">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3737951">
          <w:marLeft w:val="0"/>
          <w:marRight w:val="0"/>
          <w:marTop w:val="0"/>
          <w:marBottom w:val="0"/>
          <w:divBdr>
            <w:top w:val="none" w:sz="0" w:space="0" w:color="auto"/>
            <w:left w:val="none" w:sz="0" w:space="0" w:color="auto"/>
            <w:bottom w:val="none" w:sz="0" w:space="0" w:color="auto"/>
            <w:right w:val="none" w:sz="0" w:space="0" w:color="auto"/>
          </w:divBdr>
        </w:div>
      </w:divsChild>
    </w:div>
    <w:div w:id="1383745147">
      <w:bodyDiv w:val="1"/>
      <w:marLeft w:val="0"/>
      <w:marRight w:val="0"/>
      <w:marTop w:val="0"/>
      <w:marBottom w:val="0"/>
      <w:divBdr>
        <w:top w:val="none" w:sz="0" w:space="0" w:color="auto"/>
        <w:left w:val="none" w:sz="0" w:space="0" w:color="auto"/>
        <w:bottom w:val="none" w:sz="0" w:space="0" w:color="auto"/>
        <w:right w:val="none" w:sz="0" w:space="0" w:color="auto"/>
      </w:divBdr>
      <w:divsChild>
        <w:div w:id="657458914">
          <w:marLeft w:val="0"/>
          <w:marRight w:val="0"/>
          <w:marTop w:val="0"/>
          <w:marBottom w:val="0"/>
          <w:divBdr>
            <w:top w:val="none" w:sz="0" w:space="0" w:color="auto"/>
            <w:left w:val="none" w:sz="0" w:space="0" w:color="auto"/>
            <w:bottom w:val="none" w:sz="0" w:space="0" w:color="auto"/>
            <w:right w:val="none" w:sz="0" w:space="0" w:color="auto"/>
          </w:divBdr>
          <w:divsChild>
            <w:div w:id="1886214031">
              <w:marLeft w:val="5925"/>
              <w:marRight w:val="0"/>
              <w:marTop w:val="0"/>
              <w:marBottom w:val="0"/>
              <w:divBdr>
                <w:top w:val="none" w:sz="0" w:space="0" w:color="auto"/>
                <w:left w:val="none" w:sz="0" w:space="0" w:color="auto"/>
                <w:bottom w:val="none" w:sz="0" w:space="0" w:color="auto"/>
                <w:right w:val="none" w:sz="0" w:space="0" w:color="auto"/>
              </w:divBdr>
              <w:divsChild>
                <w:div w:id="1253048510">
                  <w:marLeft w:val="0"/>
                  <w:marRight w:val="0"/>
                  <w:marTop w:val="0"/>
                  <w:marBottom w:val="0"/>
                  <w:divBdr>
                    <w:top w:val="none" w:sz="0" w:space="0" w:color="auto"/>
                    <w:left w:val="none" w:sz="0" w:space="0" w:color="auto"/>
                    <w:bottom w:val="none" w:sz="0" w:space="0" w:color="auto"/>
                    <w:right w:val="none" w:sz="0" w:space="0" w:color="auto"/>
                  </w:divBdr>
                  <w:divsChild>
                    <w:div w:id="977759577">
                      <w:marLeft w:val="0"/>
                      <w:marRight w:val="0"/>
                      <w:marTop w:val="0"/>
                      <w:marBottom w:val="0"/>
                      <w:divBdr>
                        <w:top w:val="none" w:sz="0" w:space="0" w:color="auto"/>
                        <w:left w:val="none" w:sz="0" w:space="0" w:color="auto"/>
                        <w:bottom w:val="none" w:sz="0" w:space="0" w:color="auto"/>
                        <w:right w:val="none" w:sz="0" w:space="0" w:color="auto"/>
                      </w:divBdr>
                      <w:divsChild>
                        <w:div w:id="921569679">
                          <w:marLeft w:val="0"/>
                          <w:marRight w:val="0"/>
                          <w:marTop w:val="0"/>
                          <w:marBottom w:val="0"/>
                          <w:divBdr>
                            <w:top w:val="none" w:sz="0" w:space="0" w:color="auto"/>
                            <w:left w:val="none" w:sz="0" w:space="0" w:color="auto"/>
                            <w:bottom w:val="none" w:sz="0" w:space="0" w:color="auto"/>
                            <w:right w:val="none" w:sz="0" w:space="0" w:color="auto"/>
                          </w:divBdr>
                          <w:divsChild>
                            <w:div w:id="14816269">
                              <w:marLeft w:val="0"/>
                              <w:marRight w:val="0"/>
                              <w:marTop w:val="0"/>
                              <w:marBottom w:val="0"/>
                              <w:divBdr>
                                <w:top w:val="none" w:sz="0" w:space="0" w:color="auto"/>
                                <w:left w:val="none" w:sz="0" w:space="0" w:color="auto"/>
                                <w:bottom w:val="none" w:sz="0" w:space="0" w:color="auto"/>
                                <w:right w:val="none" w:sz="0" w:space="0" w:color="auto"/>
                              </w:divBdr>
                              <w:divsChild>
                                <w:div w:id="1018048976">
                                  <w:marLeft w:val="0"/>
                                  <w:marRight w:val="0"/>
                                  <w:marTop w:val="0"/>
                                  <w:marBottom w:val="0"/>
                                  <w:divBdr>
                                    <w:top w:val="none" w:sz="0" w:space="0" w:color="auto"/>
                                    <w:left w:val="none" w:sz="0" w:space="0" w:color="auto"/>
                                    <w:bottom w:val="none" w:sz="0" w:space="0" w:color="auto"/>
                                    <w:right w:val="none" w:sz="0" w:space="0" w:color="auto"/>
                                  </w:divBdr>
                                  <w:divsChild>
                                    <w:div w:id="888685780">
                                      <w:marLeft w:val="0"/>
                                      <w:marRight w:val="0"/>
                                      <w:marTop w:val="0"/>
                                      <w:marBottom w:val="0"/>
                                      <w:divBdr>
                                        <w:top w:val="none" w:sz="0" w:space="0" w:color="auto"/>
                                        <w:left w:val="none" w:sz="0" w:space="0" w:color="auto"/>
                                        <w:bottom w:val="none" w:sz="0" w:space="0" w:color="auto"/>
                                        <w:right w:val="none" w:sz="0" w:space="0" w:color="auto"/>
                                      </w:divBdr>
                                      <w:divsChild>
                                        <w:div w:id="841316385">
                                          <w:marLeft w:val="0"/>
                                          <w:marRight w:val="0"/>
                                          <w:marTop w:val="0"/>
                                          <w:marBottom w:val="0"/>
                                          <w:divBdr>
                                            <w:top w:val="none" w:sz="0" w:space="0" w:color="auto"/>
                                            <w:left w:val="none" w:sz="0" w:space="0" w:color="auto"/>
                                            <w:bottom w:val="none" w:sz="0" w:space="0" w:color="auto"/>
                                            <w:right w:val="none" w:sz="0" w:space="0" w:color="auto"/>
                                          </w:divBdr>
                                          <w:divsChild>
                                            <w:div w:id="15320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0028">
                                      <w:marLeft w:val="0"/>
                                      <w:marRight w:val="0"/>
                                      <w:marTop w:val="0"/>
                                      <w:marBottom w:val="0"/>
                                      <w:divBdr>
                                        <w:top w:val="none" w:sz="0" w:space="0" w:color="auto"/>
                                        <w:left w:val="none" w:sz="0" w:space="0" w:color="auto"/>
                                        <w:bottom w:val="none" w:sz="0" w:space="0" w:color="auto"/>
                                        <w:right w:val="none" w:sz="0" w:space="0" w:color="auto"/>
                                      </w:divBdr>
                                      <w:divsChild>
                                        <w:div w:id="1581985899">
                                          <w:marLeft w:val="0"/>
                                          <w:marRight w:val="0"/>
                                          <w:marTop w:val="0"/>
                                          <w:marBottom w:val="0"/>
                                          <w:divBdr>
                                            <w:top w:val="none" w:sz="0" w:space="0" w:color="auto"/>
                                            <w:left w:val="none" w:sz="0" w:space="0" w:color="auto"/>
                                            <w:bottom w:val="none" w:sz="0" w:space="0" w:color="auto"/>
                                            <w:right w:val="none" w:sz="0" w:space="0" w:color="auto"/>
                                          </w:divBdr>
                                          <w:divsChild>
                                            <w:div w:id="262034866">
                                              <w:marLeft w:val="0"/>
                                              <w:marRight w:val="0"/>
                                              <w:marTop w:val="0"/>
                                              <w:marBottom w:val="0"/>
                                              <w:divBdr>
                                                <w:top w:val="none" w:sz="0" w:space="0" w:color="auto"/>
                                                <w:left w:val="none" w:sz="0" w:space="0" w:color="auto"/>
                                                <w:bottom w:val="none" w:sz="0" w:space="0" w:color="auto"/>
                                                <w:right w:val="none" w:sz="0" w:space="0" w:color="auto"/>
                                              </w:divBdr>
                                            </w:div>
                                            <w:div w:id="661004476">
                                              <w:marLeft w:val="0"/>
                                              <w:marRight w:val="0"/>
                                              <w:marTop w:val="0"/>
                                              <w:marBottom w:val="0"/>
                                              <w:divBdr>
                                                <w:top w:val="none" w:sz="0" w:space="0" w:color="auto"/>
                                                <w:left w:val="none" w:sz="0" w:space="0" w:color="auto"/>
                                                <w:bottom w:val="none" w:sz="0" w:space="0" w:color="auto"/>
                                                <w:right w:val="none" w:sz="0" w:space="0" w:color="auto"/>
                                              </w:divBdr>
                                            </w:div>
                                            <w:div w:id="1640645049">
                                              <w:marLeft w:val="0"/>
                                              <w:marRight w:val="0"/>
                                              <w:marTop w:val="0"/>
                                              <w:marBottom w:val="0"/>
                                              <w:divBdr>
                                                <w:top w:val="none" w:sz="0" w:space="0" w:color="auto"/>
                                                <w:left w:val="none" w:sz="0" w:space="0" w:color="auto"/>
                                                <w:bottom w:val="none" w:sz="0" w:space="0" w:color="auto"/>
                                                <w:right w:val="none" w:sz="0" w:space="0" w:color="auto"/>
                                              </w:divBdr>
                                            </w:div>
                                            <w:div w:id="20265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03823">
                      <w:marLeft w:val="1185"/>
                      <w:marRight w:val="1185"/>
                      <w:marTop w:val="1185"/>
                      <w:marBottom w:val="0"/>
                      <w:divBdr>
                        <w:top w:val="none" w:sz="0" w:space="0" w:color="auto"/>
                        <w:left w:val="none" w:sz="0" w:space="0" w:color="auto"/>
                        <w:bottom w:val="none" w:sz="0" w:space="0" w:color="auto"/>
                        <w:right w:val="none" w:sz="0" w:space="0" w:color="auto"/>
                      </w:divBdr>
                      <w:divsChild>
                        <w:div w:id="660545079">
                          <w:marLeft w:val="0"/>
                          <w:marRight w:val="0"/>
                          <w:marTop w:val="0"/>
                          <w:marBottom w:val="0"/>
                          <w:divBdr>
                            <w:top w:val="none" w:sz="0" w:space="0" w:color="auto"/>
                            <w:left w:val="none" w:sz="0" w:space="0" w:color="auto"/>
                            <w:bottom w:val="none" w:sz="0" w:space="0" w:color="auto"/>
                            <w:right w:val="none" w:sz="0" w:space="0" w:color="auto"/>
                          </w:divBdr>
                        </w:div>
                      </w:divsChild>
                    </w:div>
                    <w:div w:id="1696808696">
                      <w:marLeft w:val="0"/>
                      <w:marRight w:val="0"/>
                      <w:marTop w:val="0"/>
                      <w:marBottom w:val="0"/>
                      <w:divBdr>
                        <w:top w:val="none" w:sz="0" w:space="0" w:color="auto"/>
                        <w:left w:val="none" w:sz="0" w:space="0" w:color="auto"/>
                        <w:bottom w:val="none" w:sz="0" w:space="0" w:color="auto"/>
                        <w:right w:val="none" w:sz="0" w:space="0" w:color="auto"/>
                      </w:divBdr>
                      <w:divsChild>
                        <w:div w:id="1350643237">
                          <w:marLeft w:val="0"/>
                          <w:marRight w:val="0"/>
                          <w:marTop w:val="0"/>
                          <w:marBottom w:val="0"/>
                          <w:divBdr>
                            <w:top w:val="none" w:sz="0" w:space="0" w:color="auto"/>
                            <w:left w:val="none" w:sz="0" w:space="0" w:color="auto"/>
                            <w:bottom w:val="none" w:sz="0" w:space="0" w:color="auto"/>
                            <w:right w:val="none" w:sz="0" w:space="0" w:color="auto"/>
                          </w:divBdr>
                        </w:div>
                        <w:div w:id="12747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ammentiarte.it/wp-11-15/dal%20Gotico/signorelli%20opere/antonio-del-massaro" TargetMode="External"/><Relationship Id="rId13" Type="http://schemas.openxmlformats.org/officeDocument/2006/relationships/hyperlink" Target="https://www.frammentiarte.it/wp-11-15/wp-content/uploads/2016/02/dal%20Gotico/signorelli%20opere/24-05-luca-signorelli-vele-delle-volte-dottori-della-chiesa.jpg" TargetMode="External"/><Relationship Id="rId18" Type="http://schemas.openxmlformats.org/officeDocument/2006/relationships/hyperlink" Target="https://www.frammentiarte.it/wp-11-15/dal%20Gotico/signorelli%20opere/vasari-biografia-1"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frammentiarte.it/wp-11-15/dal%20Gotico/signorelli%20opere/0-beato-angelico-biografia"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frammentiarte.it/wp-11-15/wp-content/uploads/2016/02/dal%20Gotico/signorelli%20opere/24-05-luca-signorelli-vele-delle-volte-apostoli.jpg" TargetMode="External"/><Relationship Id="rId17" Type="http://schemas.openxmlformats.org/officeDocument/2006/relationships/hyperlink" Target="https://www.frammentiarte.it/wp-11-15/wp-content/uploads/2016/02/dal%20Gotico/signorelli%20opere/24-01-luca-signorelli-anticristo-dettaglio-prostituta.jpg" TargetMode="External"/><Relationship Id="rId25" Type="http://schemas.openxmlformats.org/officeDocument/2006/relationships/hyperlink" Target="https://www.frammentiarte.it/wp-11-15/dal%20Gotico/signorelli%20opere/24-03-resurrezione-della-carn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rammentiarte.it/wp-11-15/wp-content/uploads/2016/02/dal%20Gotico/signorelli%20opere/24-01-luca-signorelli-anticristo-dettaglio-della-predica.jpg" TargetMode="External"/><Relationship Id="rId20" Type="http://schemas.openxmlformats.org/officeDocument/2006/relationships/hyperlink" Target="https://www.frammentiarte.it/wp-11-15/wp-content/uploads/2016/02/dal%20Gotico/signorelli%20opere/24-01-luca-signorelli-anticristo-dettaglio-monaldeschi.jpg" TargetMode="External"/><Relationship Id="rId29" Type="http://schemas.openxmlformats.org/officeDocument/2006/relationships/hyperlink" Target="https://www.frammentiarte.it/wp-11-15/dal%20Gotico/signorelli%20opere/24-04-dannati-allinfern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rammentiarte.it/wp-11-15/wp-content/uploads/2016/02/dal%20Gotico/Beato%20Angelico%20opere/37-beato-angelico-affreschi-duomo-orvieto-profeti.jpg" TargetMode="External"/><Relationship Id="rId24" Type="http://schemas.openxmlformats.org/officeDocument/2006/relationships/image" Target="media/image6.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8.jpeg"/><Relationship Id="rId10" Type="http://schemas.openxmlformats.org/officeDocument/2006/relationships/hyperlink" Target="https://www.frammentiarte.it/wp-11-15/wp-content/uploads/2016/02/dal%20Gotico/Beato%20Angelico%20opere/36-beato-angelico-affreschi-duomo-orvieto-cristo-giudice.jpg" TargetMode="External"/><Relationship Id="rId19" Type="http://schemas.openxmlformats.org/officeDocument/2006/relationships/hyperlink" Target="https://www.frammentiarte.it/wp-11-15/dal%20Gotico/signorelli%20opere/0-01-biografia-e-pittura-pinturicchio" TargetMode="External"/><Relationship Id="rId31" Type="http://schemas.openxmlformats.org/officeDocument/2006/relationships/hyperlink" Target="https://www.frammentiarte.it/wp-11-15/dal%20Gotico/signorelli%20opere/24-04-i-beati-in-paradiso" TargetMode="External"/><Relationship Id="rId4" Type="http://schemas.openxmlformats.org/officeDocument/2006/relationships/settings" Target="settings.xml"/><Relationship Id="rId9" Type="http://schemas.openxmlformats.org/officeDocument/2006/relationships/hyperlink" Target="https://www.frammentiarte.it/wp-11-15/dal%20Gotico/signorelli%20opere/0-perugino-biografia" TargetMode="External"/><Relationship Id="rId14" Type="http://schemas.openxmlformats.org/officeDocument/2006/relationships/hyperlink" Target="https://www.frammentiarte.it/wp-11-15/dal%20Gotico/signorelli%20opere/24-01-predica-e-morte-dellanticristo" TargetMode="External"/><Relationship Id="rId22" Type="http://schemas.openxmlformats.org/officeDocument/2006/relationships/image" Target="media/image4.jpeg"/><Relationship Id="rId27" Type="http://schemas.openxmlformats.org/officeDocument/2006/relationships/hyperlink" Target="https://www.frammentiarte.it/wp-11-15/dal%20Gotico/signorelli%20opere/24-04-chiamate-in-paradiso-e-allinferno" TargetMode="External"/><Relationship Id="rId30"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82FE0-67F8-4A53-904F-D3CFE9DC0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17</Pages>
  <Words>2673</Words>
  <Characters>15242</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Piero</dc:creator>
  <cp:keywords/>
  <dc:description/>
  <cp:lastModifiedBy>Piero</cp:lastModifiedBy>
  <cp:revision>5</cp:revision>
  <dcterms:created xsi:type="dcterms:W3CDTF">2023-03-28T03:54:00Z</dcterms:created>
  <dcterms:modified xsi:type="dcterms:W3CDTF">2023-03-28T09:51:00Z</dcterms:modified>
</cp:coreProperties>
</file>