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4E8" w:rsidRDefault="008C64E8" w:rsidP="008C64E8">
      <w:pPr>
        <w:rPr>
          <w:b/>
        </w:rPr>
      </w:pPr>
      <w:r>
        <w:rPr>
          <w:b/>
        </w:rPr>
        <w:t>Seminario di teologia biblica</w:t>
      </w:r>
    </w:p>
    <w:p w:rsidR="008C64E8" w:rsidRDefault="00607D04" w:rsidP="008C64E8">
      <w:pPr>
        <w:rPr>
          <w:b/>
        </w:rPr>
      </w:pPr>
      <w:r>
        <w:rPr>
          <w:b/>
          <w:color w:val="000000"/>
        </w:rPr>
        <w:t>Retorica e pragmatica nell’epistolario paolino</w:t>
      </w:r>
      <w:bookmarkStart w:id="0" w:name="_GoBack"/>
      <w:bookmarkEnd w:id="0"/>
    </w:p>
    <w:p w:rsidR="001D063D" w:rsidRDefault="001D063D"/>
    <w:p w:rsidR="008C64E8" w:rsidRDefault="008C64E8">
      <w:r>
        <w:t xml:space="preserve">Scheda per la lettura dell’articolo di A. </w:t>
      </w:r>
      <w:r w:rsidRPr="008C64E8">
        <w:rPr>
          <w:smallCaps/>
        </w:rPr>
        <w:t>Pitta</w:t>
      </w:r>
      <w:r>
        <w:t xml:space="preserve">, </w:t>
      </w:r>
      <w:r>
        <w:rPr>
          <w:i/>
        </w:rPr>
        <w:t xml:space="preserve">Retorica epistolare della lettera ai Galati? Bilanci e prospettive, </w:t>
      </w:r>
      <w:r>
        <w:t>“Rivista Biblica” 65 (2017), 149-172</w:t>
      </w:r>
    </w:p>
    <w:p w:rsidR="008C64E8" w:rsidRDefault="008C64E8"/>
    <w:p w:rsidR="008C64E8" w:rsidRDefault="008C64E8" w:rsidP="008C64E8">
      <w:pPr>
        <w:pStyle w:val="Paragrafoelenco"/>
        <w:numPr>
          <w:ilvl w:val="0"/>
          <w:numId w:val="1"/>
        </w:numPr>
        <w:ind w:left="284" w:hanging="284"/>
      </w:pPr>
      <w:r>
        <w:t>Con quale “retorica” si confronta</w:t>
      </w:r>
      <w:r w:rsidR="00DC65A5">
        <w:t>no</w:t>
      </w:r>
      <w:r>
        <w:t xml:space="preserve"> l’autore e gli autori </w:t>
      </w:r>
      <w:r w:rsidR="00DC65A5">
        <w:t xml:space="preserve">da lui </w:t>
      </w:r>
      <w:r>
        <w:t>citati?</w:t>
      </w:r>
    </w:p>
    <w:p w:rsidR="008C64E8" w:rsidRDefault="008C64E8" w:rsidP="008C64E8">
      <w:pPr>
        <w:pStyle w:val="Paragrafoelenco"/>
        <w:numPr>
          <w:ilvl w:val="0"/>
          <w:numId w:val="1"/>
        </w:numPr>
        <w:ind w:left="284" w:hanging="284"/>
      </w:pPr>
      <w:r>
        <w:t>Quali difficoltà per accomunare “epistolografia” e “retorica”, e quale motivazione fondamentale per un loro superamento?</w:t>
      </w:r>
    </w:p>
    <w:p w:rsidR="001D1A54" w:rsidRDefault="001D1A54" w:rsidP="008C64E8">
      <w:pPr>
        <w:pStyle w:val="Paragrafoelenco"/>
        <w:numPr>
          <w:ilvl w:val="0"/>
          <w:numId w:val="1"/>
        </w:numPr>
        <w:ind w:left="284" w:hanging="284"/>
      </w:pPr>
      <w:r>
        <w:t>Il concetto di “retorica epistolare” è adeguatamente fondato? Da dove è attinto? Quali elementi d’analisi offre rispetto alla manualistica retorica classica?</w:t>
      </w:r>
    </w:p>
    <w:p w:rsidR="00E626AE" w:rsidRDefault="00E626AE" w:rsidP="008C64E8">
      <w:pPr>
        <w:pStyle w:val="Paragrafoelenco"/>
        <w:numPr>
          <w:ilvl w:val="0"/>
          <w:numId w:val="1"/>
        </w:numPr>
        <w:ind w:left="284" w:hanging="284"/>
      </w:pPr>
      <w:r>
        <w:t xml:space="preserve">L’importanza della/e </w:t>
      </w:r>
      <w:proofErr w:type="spellStart"/>
      <w:r>
        <w:rPr>
          <w:i/>
        </w:rPr>
        <w:t>propositio</w:t>
      </w:r>
      <w:proofErr w:type="spellEnd"/>
      <w:r>
        <w:rPr>
          <w:i/>
        </w:rPr>
        <w:t>/</w:t>
      </w:r>
      <w:proofErr w:type="spellStart"/>
      <w:r>
        <w:rPr>
          <w:i/>
        </w:rPr>
        <w:t>tiones</w:t>
      </w:r>
      <w:proofErr w:type="spellEnd"/>
      <w:r>
        <w:rPr>
          <w:i/>
        </w:rPr>
        <w:t xml:space="preserve"> </w:t>
      </w:r>
      <w:r>
        <w:t>è motivata? L’articolazione in prin</w:t>
      </w:r>
      <w:r w:rsidR="00DC65A5">
        <w:t>cipale/secondarie (dipendenti dalla principale) è suffragata?</w:t>
      </w:r>
    </w:p>
    <w:p w:rsidR="00DC65A5" w:rsidRDefault="00607D04" w:rsidP="008C64E8">
      <w:pPr>
        <w:pStyle w:val="Paragrafoelenco"/>
        <w:numPr>
          <w:ilvl w:val="0"/>
          <w:numId w:val="1"/>
        </w:numPr>
        <w:ind w:left="284" w:hanging="284"/>
      </w:pPr>
      <w:r>
        <w:t>Non avendo avuto il Seminario per oggetto l’intera lettera ai Galati le tesi dell’articolo sul messaggio globale della lettera non possono essere valutate criticamente. Piuttosto è interessante la sua pur breve ricognizione delle figure argomentative (ad es. il chiasmo, sovente abusato; sono chiare le sue considerazioni al riguardo?) e il modo con cui afferiscono il messaggio.</w:t>
      </w:r>
    </w:p>
    <w:p w:rsidR="00DC65A5" w:rsidRDefault="00DC65A5" w:rsidP="00DC65A5"/>
    <w:p w:rsidR="00DC65A5" w:rsidRDefault="00DC65A5" w:rsidP="00DC65A5"/>
    <w:p w:rsidR="00DC65A5" w:rsidRDefault="00DC65A5" w:rsidP="00DC65A5">
      <w:r>
        <w:t>Più in generale, prendendo occasione dall’articolo di Pitta e ripensando a tutto il percorso del Seminario:</w:t>
      </w:r>
    </w:p>
    <w:p w:rsidR="00DC65A5" w:rsidRPr="008C64E8" w:rsidRDefault="00DC65A5" w:rsidP="00DC65A5">
      <w:pPr>
        <w:pStyle w:val="Paragrafoelenco"/>
        <w:numPr>
          <w:ilvl w:val="0"/>
          <w:numId w:val="2"/>
        </w:numPr>
        <w:ind w:left="284" w:hanging="284"/>
      </w:pPr>
      <w:r>
        <w:t xml:space="preserve">Lo studio della retorica dev’essere funzionale a far emergere il messaggio della lettera. Con le parole di </w:t>
      </w:r>
      <w:proofErr w:type="spellStart"/>
      <w:r>
        <w:t>Ricoeur</w:t>
      </w:r>
      <w:proofErr w:type="spellEnd"/>
      <w:r>
        <w:t>, la spiegazione deve sfociare nella comprensione, altrimenti si arena in uno sterile formalismo. Il Seminario vi ha aiutati?</w:t>
      </w:r>
      <w:r w:rsidR="00DC6645">
        <w:t xml:space="preserve"> Quali guadagni e quali carenza avvertite alla fine del percorso?</w:t>
      </w:r>
    </w:p>
    <w:sectPr w:rsidR="00DC65A5" w:rsidRPr="008C64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25773"/>
    <w:multiLevelType w:val="hybridMultilevel"/>
    <w:tmpl w:val="3E9EB3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91009"/>
    <w:multiLevelType w:val="hybridMultilevel"/>
    <w:tmpl w:val="CAD4C9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E8"/>
    <w:rsid w:val="00025889"/>
    <w:rsid w:val="001D063D"/>
    <w:rsid w:val="001D1A54"/>
    <w:rsid w:val="00607D04"/>
    <w:rsid w:val="008C64E8"/>
    <w:rsid w:val="00DC65A5"/>
    <w:rsid w:val="00DC6645"/>
    <w:rsid w:val="00E626AE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531AC-8C86-41BB-A37D-10994553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634C"/>
    <w:pPr>
      <w:keepNext/>
      <w:keepLines/>
      <w:spacing w:after="120"/>
      <w:jc w:val="center"/>
      <w:outlineLvl w:val="0"/>
    </w:pPr>
    <w:rPr>
      <w:rFonts w:ascii="Rockwell" w:eastAsiaTheme="majorEastAsia" w:hAnsi="Rockwell" w:cstheme="majorBidi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025889"/>
    <w:pPr>
      <w:keepNext/>
      <w:keepLines/>
      <w:spacing w:before="120" w:after="120"/>
      <w:ind w:left="284"/>
      <w:outlineLvl w:val="1"/>
    </w:pPr>
    <w:rPr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34C"/>
    <w:rPr>
      <w:rFonts w:ascii="Rockwell" w:eastAsiaTheme="majorEastAsia" w:hAnsi="Rockwell" w:cstheme="majorBidi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025889"/>
    <w:rPr>
      <w:rFonts w:ascii="Times New Roman" w:eastAsia="Times New Roman" w:hAnsi="Times New Roman"/>
      <w:i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C6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</cp:lastModifiedBy>
  <cp:revision>2</cp:revision>
  <dcterms:created xsi:type="dcterms:W3CDTF">2019-04-24T10:05:00Z</dcterms:created>
  <dcterms:modified xsi:type="dcterms:W3CDTF">2022-04-25T07:44:00Z</dcterms:modified>
</cp:coreProperties>
</file>