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9B4" w:rsidRPr="006829B4" w:rsidRDefault="006829B4" w:rsidP="006829B4">
      <w:pPr>
        <w:jc w:val="center"/>
        <w:rPr>
          <w:b/>
          <w:i/>
          <w:sz w:val="28"/>
          <w:szCs w:val="28"/>
        </w:rPr>
      </w:pPr>
      <w:r w:rsidRPr="006829B4">
        <w:rPr>
          <w:b/>
          <w:i/>
          <w:sz w:val="28"/>
          <w:szCs w:val="28"/>
        </w:rPr>
        <w:t>La scoperta della storicità del fenomeno religioso</w:t>
      </w:r>
    </w:p>
    <w:p w:rsidR="006829B4" w:rsidRPr="006829B4" w:rsidRDefault="006829B4" w:rsidP="006829B4">
      <w:pPr>
        <w:jc w:val="center"/>
        <w:rPr>
          <w:i/>
        </w:rPr>
      </w:pPr>
      <w:r>
        <w:rPr>
          <w:i/>
        </w:rPr>
        <w:t>Due</w:t>
      </w:r>
      <w:r w:rsidRPr="006829B4">
        <w:rPr>
          <w:i/>
        </w:rPr>
        <w:t xml:space="preserve"> reazioni</w:t>
      </w:r>
      <w:r>
        <w:rPr>
          <w:i/>
        </w:rPr>
        <w:t xml:space="preserve"> simmetriche</w:t>
      </w:r>
      <w:r w:rsidRPr="006829B4">
        <w:rPr>
          <w:i/>
        </w:rPr>
        <w:t>: relativismo e fondamentalismo</w:t>
      </w:r>
    </w:p>
    <w:p w:rsidR="006829B4" w:rsidRDefault="006829B4" w:rsidP="006829B4">
      <w:pPr>
        <w:jc w:val="both"/>
      </w:pPr>
    </w:p>
    <w:p w:rsidR="006829B4" w:rsidRDefault="006829B4" w:rsidP="006829B4">
      <w:pPr>
        <w:jc w:val="center"/>
      </w:pPr>
      <w:r>
        <w:t xml:space="preserve">1. </w:t>
      </w:r>
      <w:r w:rsidRPr="00DB4EAD">
        <w:rPr>
          <w:i/>
        </w:rPr>
        <w:t>Storicità dei rapporti tra le religioni: alcuni indizi significativi</w:t>
      </w:r>
      <w:r>
        <w:t>.</w:t>
      </w:r>
    </w:p>
    <w:p w:rsidR="006829B4" w:rsidRDefault="006829B4" w:rsidP="006829B4">
      <w:pPr>
        <w:jc w:val="both"/>
      </w:pPr>
    </w:p>
    <w:p w:rsidR="00C47DE6" w:rsidRDefault="00C47DE6" w:rsidP="006829B4">
      <w:pPr>
        <w:jc w:val="both"/>
      </w:pPr>
      <w:r>
        <w:t>Raccogliamo alcuni indizi della storicità delle religioni. Più che affidarci alla storia delle singole religioni, verifichiamo semplicemente il mutamento storico dei loro rapporti dal punto di vista cristiano.</w:t>
      </w:r>
    </w:p>
    <w:p w:rsidR="00C47DE6" w:rsidRDefault="00C47DE6" w:rsidP="006829B4">
      <w:pPr>
        <w:jc w:val="both"/>
      </w:pPr>
    </w:p>
    <w:p w:rsidR="006829B4" w:rsidRDefault="006829B4" w:rsidP="006829B4">
      <w:pPr>
        <w:jc w:val="both"/>
      </w:pPr>
      <w:r w:rsidRPr="00CA5DD2">
        <w:rPr>
          <w:i/>
        </w:rPr>
        <w:t>(a)</w:t>
      </w:r>
      <w:r>
        <w:t xml:space="preserve"> </w:t>
      </w:r>
      <w:r w:rsidR="00C47DE6">
        <w:t>In effetti i</w:t>
      </w:r>
      <w:r>
        <w:t xml:space="preserve">l rapporto dei cristiani con le altre religioni non è inquadrabile in un unico schema, poiché presenta di fatto diverse figure, a seconda delle epoche storiche in cui </w:t>
      </w:r>
      <w:smartTag w:uri="urn:schemas-microsoft-com:office:smarttags" w:element="PersonName">
        <w:smartTagPr>
          <w:attr w:name="ProductID" w:val="la Chiesa"/>
        </w:smartTagPr>
        <w:r>
          <w:t>la Chiesa</w:t>
        </w:r>
      </w:smartTag>
      <w:r>
        <w:t xml:space="preserve"> ha vissuta. Basti a titolo di esempio questa classificazione proposta da </w:t>
      </w:r>
      <w:r w:rsidRPr="00BB3ADA">
        <w:rPr>
          <w:i/>
        </w:rPr>
        <w:t xml:space="preserve">R. </w:t>
      </w:r>
      <w:proofErr w:type="spellStart"/>
      <w:r w:rsidRPr="00BB3ADA">
        <w:rPr>
          <w:i/>
        </w:rPr>
        <w:t>Panikkar</w:t>
      </w:r>
      <w:proofErr w:type="spellEnd"/>
      <w:r>
        <w:t xml:space="preserve">: </w:t>
      </w:r>
    </w:p>
    <w:p w:rsidR="006829B4" w:rsidRDefault="006829B4" w:rsidP="006829B4">
      <w:pPr>
        <w:jc w:val="both"/>
        <w:rPr>
          <w:sz w:val="22"/>
        </w:rPr>
      </w:pPr>
    </w:p>
    <w:p w:rsidR="006829B4" w:rsidRDefault="006829B4" w:rsidP="006829B4">
      <w:pPr>
        <w:pStyle w:val="Corpotesto"/>
        <w:ind w:left="170" w:right="170"/>
      </w:pPr>
      <w:r>
        <w:t xml:space="preserve">1. La </w:t>
      </w:r>
      <w:r>
        <w:rPr>
          <w:i/>
          <w:iCs/>
        </w:rPr>
        <w:t>testimonianza</w:t>
      </w:r>
      <w:r>
        <w:t>: dalle origini alla caduta di Roma (410) o alla morte di Agostino (430)</w:t>
      </w:r>
    </w:p>
    <w:p w:rsidR="006829B4" w:rsidRDefault="006829B4" w:rsidP="006829B4">
      <w:pPr>
        <w:ind w:left="170" w:right="170"/>
        <w:jc w:val="both"/>
        <w:rPr>
          <w:sz w:val="22"/>
        </w:rPr>
      </w:pPr>
      <w:r>
        <w:rPr>
          <w:sz w:val="22"/>
        </w:rPr>
        <w:t xml:space="preserve">2. La </w:t>
      </w:r>
      <w:r>
        <w:rPr>
          <w:i/>
          <w:iCs/>
          <w:sz w:val="22"/>
        </w:rPr>
        <w:t>conversione</w:t>
      </w:r>
      <w:r>
        <w:rPr>
          <w:sz w:val="22"/>
        </w:rPr>
        <w:t>: dal periodo delle migrazioni dei barbari nell’area dell’impero romano al Medioevo (</w:t>
      </w:r>
      <w:proofErr w:type="spellStart"/>
      <w:r>
        <w:rPr>
          <w:sz w:val="22"/>
        </w:rPr>
        <w:t>esserecristiano</w:t>
      </w:r>
      <w:proofErr w:type="spellEnd"/>
      <w:r>
        <w:rPr>
          <w:sz w:val="22"/>
        </w:rPr>
        <w:t xml:space="preserve"> significa convertirsi a Cristo)</w:t>
      </w:r>
    </w:p>
    <w:p w:rsidR="006829B4" w:rsidRDefault="006829B4" w:rsidP="006829B4">
      <w:pPr>
        <w:ind w:left="170" w:right="170"/>
        <w:jc w:val="both"/>
        <w:rPr>
          <w:sz w:val="22"/>
        </w:rPr>
      </w:pPr>
      <w:r>
        <w:rPr>
          <w:sz w:val="22"/>
        </w:rPr>
        <w:t xml:space="preserve">3. Le </w:t>
      </w:r>
      <w:r>
        <w:rPr>
          <w:i/>
          <w:iCs/>
          <w:sz w:val="22"/>
        </w:rPr>
        <w:t>crociate</w:t>
      </w:r>
      <w:r>
        <w:rPr>
          <w:sz w:val="22"/>
        </w:rPr>
        <w:t xml:space="preserve">: dallo scontro con l’Islam alla difesa interna dell’organizzazione ecclesiale contro le </w:t>
      </w:r>
      <w:proofErr w:type="spellStart"/>
      <w:r>
        <w:rPr>
          <w:sz w:val="22"/>
        </w:rPr>
        <w:t>sètte</w:t>
      </w:r>
      <w:proofErr w:type="spellEnd"/>
      <w:r>
        <w:rPr>
          <w:sz w:val="22"/>
        </w:rPr>
        <w:t xml:space="preserve"> e le eresie medievali (dall’VIII secolo al 1492: riconquista della Spagna contro i musulmani; decreto di espulsione degli ebrei; scoperta delle Americhe)</w:t>
      </w:r>
    </w:p>
    <w:p w:rsidR="006829B4" w:rsidRDefault="006829B4" w:rsidP="006829B4">
      <w:pPr>
        <w:ind w:left="170" w:right="170"/>
        <w:jc w:val="both"/>
        <w:rPr>
          <w:sz w:val="22"/>
        </w:rPr>
      </w:pPr>
      <w:r>
        <w:rPr>
          <w:sz w:val="22"/>
        </w:rPr>
        <w:t xml:space="preserve">4. La </w:t>
      </w:r>
      <w:r>
        <w:rPr>
          <w:i/>
          <w:iCs/>
          <w:sz w:val="22"/>
        </w:rPr>
        <w:t>missione</w:t>
      </w:r>
      <w:r>
        <w:rPr>
          <w:sz w:val="22"/>
        </w:rPr>
        <w:t>: dalla scoperta delle Nuove Terre alla fine del dominio coloniale (il vero cristiano e missionario)</w:t>
      </w:r>
    </w:p>
    <w:p w:rsidR="006829B4" w:rsidRDefault="006829B4" w:rsidP="006829B4">
      <w:pPr>
        <w:ind w:left="170" w:right="170"/>
        <w:jc w:val="both"/>
        <w:rPr>
          <w:sz w:val="22"/>
        </w:rPr>
      </w:pPr>
      <w:r>
        <w:rPr>
          <w:sz w:val="22"/>
        </w:rPr>
        <w:t xml:space="preserve">5. Il </w:t>
      </w:r>
      <w:r>
        <w:rPr>
          <w:i/>
          <w:iCs/>
          <w:sz w:val="22"/>
        </w:rPr>
        <w:t>dialogo</w:t>
      </w:r>
      <w:r>
        <w:rPr>
          <w:sz w:val="22"/>
        </w:rPr>
        <w:t>: epoca attuale, caratterizzata da globalizzazione e pluralismo</w:t>
      </w:r>
      <w:r w:rsidRPr="00700403">
        <w:rPr>
          <w:rStyle w:val="Rimandonotaapidipagina"/>
          <w:sz w:val="20"/>
          <w:szCs w:val="20"/>
        </w:rPr>
        <w:footnoteReference w:id="1"/>
      </w:r>
      <w:r>
        <w:rPr>
          <w:sz w:val="22"/>
        </w:rPr>
        <w:t>.</w:t>
      </w:r>
    </w:p>
    <w:p w:rsidR="006829B4" w:rsidRDefault="006829B4" w:rsidP="006829B4">
      <w:pPr>
        <w:jc w:val="both"/>
      </w:pPr>
    </w:p>
    <w:p w:rsidR="006829B4" w:rsidRDefault="006829B4" w:rsidP="006829B4">
      <w:pPr>
        <w:jc w:val="both"/>
      </w:pPr>
      <w:r>
        <w:t xml:space="preserve">Si noti che testimonianza, conversione, confessione militante (crociate come pellegrinaggio), missione e dialogo sono dimensioni irrinunciabili della fede, che però trovano differenti accentuazioni nelle varie epoche. Questa semplice classificazione ci fa intuire che non esiste un’espressione univoca e atemporale capace di dire la relazione con le altre religione. </w:t>
      </w:r>
    </w:p>
    <w:p w:rsidR="006829B4" w:rsidRDefault="006829B4" w:rsidP="006829B4">
      <w:pPr>
        <w:jc w:val="both"/>
      </w:pPr>
    </w:p>
    <w:p w:rsidR="006829B4" w:rsidRDefault="006829B4" w:rsidP="006829B4">
      <w:pPr>
        <w:jc w:val="both"/>
      </w:pPr>
      <w:r>
        <w:rPr>
          <w:i/>
        </w:rPr>
        <w:t>(b</w:t>
      </w:r>
      <w:r w:rsidRPr="00CA5DD2">
        <w:rPr>
          <w:i/>
        </w:rPr>
        <w:t>)</w:t>
      </w:r>
      <w:r>
        <w:t xml:space="preserve"> Una ricca e documentata analisi dei mutamenti di rapporto tra cristianesimo e religioni è quella offerta dall’importante studio di </w:t>
      </w:r>
      <w:r w:rsidRPr="0072431D">
        <w:rPr>
          <w:i/>
        </w:rPr>
        <w:t>J. Ries</w:t>
      </w:r>
      <w:r w:rsidRPr="00700403">
        <w:rPr>
          <w:rStyle w:val="Rimandonotaapidipagina"/>
          <w:sz w:val="22"/>
          <w:szCs w:val="22"/>
        </w:rPr>
        <w:footnoteReference w:id="2"/>
      </w:r>
      <w:r>
        <w:t xml:space="preserve">. Egli distingue quattro grandi epoche: </w:t>
      </w:r>
    </w:p>
    <w:p w:rsidR="006829B4" w:rsidRDefault="006829B4" w:rsidP="006829B4">
      <w:pPr>
        <w:jc w:val="both"/>
      </w:pPr>
    </w:p>
    <w:p w:rsidR="006829B4" w:rsidRPr="006829B4" w:rsidRDefault="006829B4" w:rsidP="006829B4">
      <w:pPr>
        <w:ind w:left="170" w:right="113"/>
        <w:jc w:val="both"/>
      </w:pPr>
      <w:r w:rsidRPr="006829B4">
        <w:t xml:space="preserve">1) </w:t>
      </w:r>
      <w:r w:rsidRPr="006829B4">
        <w:rPr>
          <w:i/>
        </w:rPr>
        <w:t>Dagli Atti degli Apostoli al De Civitate Dei (412-420) di Agostino</w:t>
      </w:r>
      <w:r w:rsidRPr="006829B4">
        <w:t xml:space="preserve">. Il confronto è tra cristiani, ebrei e pagani, a cui si aggiungeranno poi lo gnosticismo e il manicheismo. Lo stile è quello dell’apologia, sia nei confronti degli ebrei che riguardo alla cultura ellenistica e romana. Diversa è però la situazione nel confronto con la cultura ellenistica all’inizio del movimento cristiano e il confronto con l’Impero nel periodo delle persecuzioni, prima, e in quello della svolta costantiniana, poi. I fronti sono quelli dell’idolatria (condannata come frutto dei demoni, espressione della divinizzazione di eroi, identificazione errata di qualità divine e quindi da interpretare allegoricamente per far emergere verità più profonde), dei miti (e del culto: complessivamente condannati come iniqui e corruttori dei costumi, al punto da essere la causa della decadenza dell’Impero), del </w:t>
      </w:r>
      <w:r w:rsidRPr="006829B4">
        <w:rPr>
          <w:i/>
        </w:rPr>
        <w:t>logos</w:t>
      </w:r>
      <w:r w:rsidRPr="006829B4">
        <w:t xml:space="preserve"> (valutato positivamente come </w:t>
      </w:r>
      <w:proofErr w:type="spellStart"/>
      <w:r w:rsidRPr="006829B4">
        <w:rPr>
          <w:i/>
        </w:rPr>
        <w:t>praeparatio</w:t>
      </w:r>
      <w:proofErr w:type="spellEnd"/>
      <w:r w:rsidRPr="006829B4">
        <w:rPr>
          <w:i/>
        </w:rPr>
        <w:t xml:space="preserve"> evangelica</w:t>
      </w:r>
      <w:r w:rsidRPr="006829B4">
        <w:t xml:space="preserve">, seme o frammento parziale del </w:t>
      </w:r>
      <w:r w:rsidRPr="006829B4">
        <w:rPr>
          <w:i/>
        </w:rPr>
        <w:t>Logos</w:t>
      </w:r>
      <w:r w:rsidRPr="006829B4">
        <w:t xml:space="preserve"> pienamente manifestato in Gesù, via della rivelazione accanto all’AT). Il tema della salvezza </w:t>
      </w:r>
      <w:r w:rsidRPr="006829B4">
        <w:rPr>
          <w:i/>
        </w:rPr>
        <w:t>(</w:t>
      </w:r>
      <w:proofErr w:type="spellStart"/>
      <w:r w:rsidRPr="006829B4">
        <w:rPr>
          <w:i/>
        </w:rPr>
        <w:t>soterìa</w:t>
      </w:r>
      <w:proofErr w:type="spellEnd"/>
      <w:r w:rsidRPr="006829B4">
        <w:rPr>
          <w:i/>
        </w:rPr>
        <w:t>)</w:t>
      </w:r>
      <w:r w:rsidRPr="006829B4">
        <w:t>, già presente nel mondo pagano, è accentuato nel confronto con lo gnosticismo e il manicheismo, in cui però la Chiesa si impegna in tono polemico e squalificante (menzogne, favole, illusioni).</w:t>
      </w:r>
    </w:p>
    <w:p w:rsidR="006829B4" w:rsidRPr="006829B4" w:rsidRDefault="006829B4" w:rsidP="006829B4">
      <w:pPr>
        <w:ind w:left="170" w:right="113"/>
        <w:jc w:val="both"/>
      </w:pPr>
    </w:p>
    <w:p w:rsidR="006829B4" w:rsidRPr="006829B4" w:rsidRDefault="006829B4" w:rsidP="006829B4">
      <w:pPr>
        <w:ind w:left="170" w:right="113"/>
        <w:jc w:val="both"/>
      </w:pPr>
      <w:r w:rsidRPr="006829B4">
        <w:t xml:space="preserve">2) </w:t>
      </w:r>
      <w:r w:rsidRPr="006829B4">
        <w:rPr>
          <w:i/>
        </w:rPr>
        <w:t>Dalle grandi invasioni (V secolo) alla caduta di Costantinopoli (1453)</w:t>
      </w:r>
      <w:r w:rsidRPr="006829B4">
        <w:t xml:space="preserve">. Abbiamo quattro fronti: il confronto coi popoli barbari, tra sforzo missionario e custodia della cultura classica (in </w:t>
      </w:r>
      <w:r w:rsidRPr="006829B4">
        <w:lastRenderedPageBreak/>
        <w:t xml:space="preserve">cui però rimane il giudizio negativo sulle religioni pagane e i loro miti); l’incontro con l’Islam nascente (dal tono iniziale polemico di Giovanni Damasceno e Niceta di Bisanzio, che vi vedono un’eresia o errore dottrinale non credibile; all’interesse dialogico di Pietro il Venerabile, Raimondo da </w:t>
      </w:r>
      <w:proofErr w:type="spellStart"/>
      <w:r w:rsidRPr="006829B4">
        <w:t>Pañefort</w:t>
      </w:r>
      <w:proofErr w:type="spellEnd"/>
      <w:r w:rsidRPr="006829B4">
        <w:t xml:space="preserve"> e Raimondo Lullo nel XII secolo; allo scontro aperto delle Crociate); le relazioni con gli ebrei (apologia polemica; legislazioni penalizzanti e antisemite, che dalle restrizioni amministrative, attraverso l’</w:t>
      </w:r>
      <w:proofErr w:type="spellStart"/>
      <w:r w:rsidRPr="006829B4">
        <w:t>èra</w:t>
      </w:r>
      <w:proofErr w:type="spellEnd"/>
      <w:r w:rsidRPr="006829B4">
        <w:t xml:space="preserve"> dei ghetti, porta all’espulsione degli ebrei dai regni cristiani: «o la conversione o l’esilio»); lo scontro con le eresie dualiste medievali (Catari e Albigesi) e la repressione dell’Inquisizione. </w:t>
      </w:r>
    </w:p>
    <w:p w:rsidR="006829B4" w:rsidRPr="006829B4" w:rsidRDefault="006829B4" w:rsidP="006829B4">
      <w:pPr>
        <w:ind w:left="170" w:right="113"/>
        <w:jc w:val="both"/>
      </w:pPr>
    </w:p>
    <w:p w:rsidR="006829B4" w:rsidRPr="006829B4" w:rsidRDefault="006829B4" w:rsidP="006829B4">
      <w:pPr>
        <w:ind w:left="170" w:right="113"/>
        <w:jc w:val="both"/>
      </w:pPr>
      <w:r w:rsidRPr="006829B4">
        <w:t xml:space="preserve">3) </w:t>
      </w:r>
      <w:r w:rsidRPr="006829B4">
        <w:rPr>
          <w:i/>
        </w:rPr>
        <w:t>Dalla scoperta del Nuovo Mondo (1492) alla fondazione delle Cattedre di Storia delle Religioni (1876-80: in Olanda, Germania e Francia)</w:t>
      </w:r>
      <w:r w:rsidRPr="006829B4">
        <w:t xml:space="preserve">. Questo periodo si caratterizza per un profondo mutamento nella considerazione delle religioni. Distinguiamo quattro fronti del rapporto tra religioni. Anzitutto un nuovo sguardo sulle religioni, i miti e la sapienza pagana iniziato nell’ambito dell’umanesimo rinascimentale e neoplatonico di Marsilio </w:t>
      </w:r>
      <w:proofErr w:type="spellStart"/>
      <w:r w:rsidRPr="006829B4">
        <w:t>Ficino</w:t>
      </w:r>
      <w:proofErr w:type="spellEnd"/>
      <w:r w:rsidRPr="006829B4">
        <w:t xml:space="preserve">, Pico della Mirandola, sviluppato nella visione storico-ermeneutica di G.B. Vico, ripreso dall’Illuminismo e dal Romanticismo. In secondo luogo cambia la questione della salvezza dei pagani di fronte alle scoperte del Nuovo Mondo (1492): quale tipo di fede è necessaria e sufficiente per la salvezza (Suarez, Domenico </w:t>
      </w:r>
      <w:proofErr w:type="spellStart"/>
      <w:r w:rsidRPr="006829B4">
        <w:t>Soto</w:t>
      </w:r>
      <w:proofErr w:type="spellEnd"/>
      <w:r w:rsidRPr="006829B4">
        <w:t xml:space="preserve">)? Intanto le missioni si interrogano sul metodo dell’inculturazione, trovandosi a contatto con le grandi culture asiatiche (la questione dei riti con M. Ricci). In questo mutato contesto non pare però che cambino molto i tormentati rapporti tra cristiani ed ebrei, mentre qualche segno di dialogo emerge nel rapporto con l’Islam (Niccolò Cusano), in cui il deismo europeo della fine del ‘600 esalterà una religione senza dogmi. Infine nel cristianesimo si impone un nuovo sguardo sul patrimonio religioso dell’umanità, che spingerà i migliori ingegni a riconsiderare in una nuova prospettiva le diverse religioni (J.H. </w:t>
      </w:r>
      <w:proofErr w:type="spellStart"/>
      <w:r w:rsidRPr="006829B4">
        <w:t>Newmann</w:t>
      </w:r>
      <w:proofErr w:type="spellEnd"/>
      <w:r w:rsidRPr="006829B4">
        <w:t xml:space="preserve"> studia il rapporto tra cristianesimo e religioni nella storia della salvezza, mentre M. Müller introduce lo studio comparato delle religioni). </w:t>
      </w:r>
    </w:p>
    <w:p w:rsidR="006829B4" w:rsidRPr="006829B4" w:rsidRDefault="006829B4" w:rsidP="006829B4">
      <w:pPr>
        <w:ind w:left="170" w:right="113"/>
        <w:jc w:val="both"/>
      </w:pPr>
    </w:p>
    <w:p w:rsidR="006829B4" w:rsidRPr="006829B4" w:rsidRDefault="006829B4" w:rsidP="006829B4">
      <w:pPr>
        <w:ind w:left="170" w:right="113"/>
        <w:jc w:val="both"/>
      </w:pPr>
      <w:r w:rsidRPr="006829B4">
        <w:t xml:space="preserve">4) </w:t>
      </w:r>
      <w:r w:rsidRPr="006829B4">
        <w:rPr>
          <w:i/>
        </w:rPr>
        <w:t>Dal Parlamento delle Religioni di Chicago (1893) all’incontro di Assisi del 1986</w:t>
      </w:r>
      <w:r w:rsidRPr="006829B4">
        <w:t>. Quattro elementi caratterizzano questo periodo: un nuovo confronto tra religioni nell’ambito della ricerca comparata delle scienze delle religioni (la scoperta del «sacro» come terreno di incontro e confronto); diverse opportunità di incontro diretto tra religioni, a partire dal Parlamento delle religioni di Chicago, fino alle varie forme di dialogo bilaterale (cristiani ed ebrei; cristiani e musulmani; cristiani e induisti o buddisti). Un’ulteriore svolta sul versante cattolico è rappresentata dal Vaticano II, che considera i valori e le cose sante presenti in altre religioni. Infine emerge l’esigenza del dialogo nell’ambito di una Teologia delle Religioni di impostazione pluralista.</w:t>
      </w:r>
    </w:p>
    <w:p w:rsidR="006829B4" w:rsidRDefault="006829B4" w:rsidP="006829B4">
      <w:pPr>
        <w:jc w:val="both"/>
      </w:pPr>
    </w:p>
    <w:p w:rsidR="006829B4" w:rsidRDefault="006829B4" w:rsidP="006829B4">
      <w:pPr>
        <w:jc w:val="both"/>
      </w:pPr>
      <w:r>
        <w:rPr>
          <w:i/>
        </w:rPr>
        <w:t>(c</w:t>
      </w:r>
      <w:r w:rsidRPr="00CA5DD2">
        <w:rPr>
          <w:i/>
        </w:rPr>
        <w:t>)</w:t>
      </w:r>
      <w:r>
        <w:t xml:space="preserve"> Può ben documentare la storicità dei rapporti tra cristianesimo e religioni la vicenda dell’ermeneutica dell’assioma </w:t>
      </w:r>
      <w:r w:rsidRPr="00E50C16">
        <w:rPr>
          <w:i/>
        </w:rPr>
        <w:t xml:space="preserve">«Extra </w:t>
      </w:r>
      <w:proofErr w:type="spellStart"/>
      <w:r w:rsidRPr="00E50C16">
        <w:rPr>
          <w:i/>
        </w:rPr>
        <w:t>Ecclesiam</w:t>
      </w:r>
      <w:proofErr w:type="spellEnd"/>
      <w:r w:rsidRPr="00E50C16">
        <w:rPr>
          <w:i/>
        </w:rPr>
        <w:t xml:space="preserve"> nulla </w:t>
      </w:r>
      <w:proofErr w:type="spellStart"/>
      <w:r w:rsidRPr="00E50C16">
        <w:rPr>
          <w:i/>
        </w:rPr>
        <w:t>salus</w:t>
      </w:r>
      <w:proofErr w:type="spellEnd"/>
      <w:r w:rsidRPr="00E50C16">
        <w:rPr>
          <w:i/>
        </w:rPr>
        <w:t>»</w:t>
      </w:r>
      <w:r>
        <w:t xml:space="preserve"> nel corso della storia della teologia.</w:t>
      </w:r>
    </w:p>
    <w:p w:rsidR="006829B4" w:rsidRDefault="006829B4" w:rsidP="006829B4">
      <w:pPr>
        <w:ind w:left="170" w:right="113"/>
        <w:jc w:val="both"/>
        <w:rPr>
          <w:sz w:val="22"/>
        </w:rPr>
      </w:pPr>
    </w:p>
    <w:p w:rsidR="006829B4" w:rsidRPr="006829B4" w:rsidRDefault="006829B4" w:rsidP="006829B4">
      <w:pPr>
        <w:ind w:left="170" w:right="113"/>
        <w:jc w:val="both"/>
      </w:pPr>
      <w:r w:rsidRPr="006829B4">
        <w:t xml:space="preserve">1. </w:t>
      </w:r>
      <w:r w:rsidRPr="006829B4">
        <w:rPr>
          <w:i/>
        </w:rPr>
        <w:t xml:space="preserve">Il senso originariamente </w:t>
      </w:r>
      <w:proofErr w:type="spellStart"/>
      <w:r w:rsidRPr="006829B4">
        <w:rPr>
          <w:i/>
        </w:rPr>
        <w:t>antieretico</w:t>
      </w:r>
      <w:proofErr w:type="spellEnd"/>
      <w:r w:rsidRPr="006829B4">
        <w:rPr>
          <w:i/>
        </w:rPr>
        <w:t xml:space="preserve"> dell’assioma</w:t>
      </w:r>
      <w:r w:rsidRPr="006829B4">
        <w:t>. All’inizio rappresentava un monito agli eretici che si allontanano o separano dall’unica vera Chiesa.</w:t>
      </w:r>
    </w:p>
    <w:p w:rsidR="006829B4" w:rsidRPr="006829B4" w:rsidRDefault="006829B4" w:rsidP="006829B4">
      <w:pPr>
        <w:ind w:left="170" w:right="113"/>
        <w:jc w:val="both"/>
      </w:pPr>
      <w:r w:rsidRPr="006829B4">
        <w:t xml:space="preserve">2. </w:t>
      </w:r>
      <w:r w:rsidRPr="006829B4">
        <w:rPr>
          <w:i/>
        </w:rPr>
        <w:t>La reinterpretazione del problema della salvezza dei non-cristiani nell’orizzonte della questione della grazia-predestinazione</w:t>
      </w:r>
      <w:r w:rsidRPr="006829B4">
        <w:t xml:space="preserve">: S. Agostino (convertitosi nel 387). Agostino da un lato afferma che coloro che non hanno ricevuto il Vangelo sono stati esclusi in previsione della loro indegnità, mentre dall’altro l’universalità del peccato originale e delle sue conseguenze costituisce l’umanità nella condizione di </w:t>
      </w:r>
      <w:r w:rsidRPr="006829B4">
        <w:rPr>
          <w:i/>
        </w:rPr>
        <w:t xml:space="preserve">massa </w:t>
      </w:r>
      <w:proofErr w:type="spellStart"/>
      <w:r w:rsidRPr="006829B4">
        <w:rPr>
          <w:i/>
        </w:rPr>
        <w:t>damnata</w:t>
      </w:r>
      <w:proofErr w:type="spellEnd"/>
      <w:r w:rsidRPr="006829B4">
        <w:t xml:space="preserve">. Da questa posizione del problema deriva la tesi radicale di Fulgenzio di Ruspe (468-533) nell’opera </w:t>
      </w:r>
      <w:r w:rsidRPr="006829B4">
        <w:rPr>
          <w:i/>
        </w:rPr>
        <w:t>Sulla verità della predestinazione</w:t>
      </w:r>
      <w:r w:rsidRPr="006829B4">
        <w:t xml:space="preserve">. Il testo </w:t>
      </w:r>
      <w:proofErr w:type="spellStart"/>
      <w:r w:rsidRPr="006829B4">
        <w:t>magisteriale</w:t>
      </w:r>
      <w:proofErr w:type="spellEnd"/>
      <w:r w:rsidRPr="006829B4">
        <w:t xml:space="preserve"> più esplicito di questa linea è il Decreto per i Copti del Concilio di Firenze (4 febbraio 1442).</w:t>
      </w:r>
    </w:p>
    <w:p w:rsidR="006829B4" w:rsidRPr="006829B4" w:rsidRDefault="006829B4" w:rsidP="006829B4">
      <w:pPr>
        <w:ind w:left="170" w:right="113"/>
        <w:jc w:val="both"/>
      </w:pPr>
      <w:r w:rsidRPr="006829B4">
        <w:lastRenderedPageBreak/>
        <w:t xml:space="preserve">3. La durezza di questo insegnamento di matrice agostiniana va però temperata con </w:t>
      </w:r>
      <w:r w:rsidRPr="006829B4">
        <w:rPr>
          <w:i/>
        </w:rPr>
        <w:t>le riflessioni di Tommaso</w:t>
      </w:r>
      <w:r w:rsidRPr="006829B4">
        <w:t>. Per quanto riguarda la condizione attuale dell’uomo, Tommaso usa il principio che «a chi fa ciò che è in suo potere, Dio non fa mancare il suo aiuto, cioè la grazia» (</w:t>
      </w:r>
      <w:proofErr w:type="spellStart"/>
      <w:r w:rsidRPr="006829B4">
        <w:rPr>
          <w:i/>
        </w:rPr>
        <w:t>facienti</w:t>
      </w:r>
      <w:proofErr w:type="spellEnd"/>
      <w:r w:rsidRPr="006829B4">
        <w:rPr>
          <w:i/>
        </w:rPr>
        <w:t xml:space="preserve"> </w:t>
      </w:r>
      <w:proofErr w:type="spellStart"/>
      <w:r w:rsidRPr="006829B4">
        <w:rPr>
          <w:i/>
        </w:rPr>
        <w:t>quod</w:t>
      </w:r>
      <w:proofErr w:type="spellEnd"/>
      <w:r w:rsidRPr="006829B4">
        <w:rPr>
          <w:i/>
        </w:rPr>
        <w:t xml:space="preserve"> in se est, Deus non </w:t>
      </w:r>
      <w:proofErr w:type="spellStart"/>
      <w:r w:rsidRPr="006829B4">
        <w:rPr>
          <w:i/>
        </w:rPr>
        <w:t>denegat</w:t>
      </w:r>
      <w:proofErr w:type="spellEnd"/>
      <w:r w:rsidRPr="006829B4">
        <w:rPr>
          <w:i/>
        </w:rPr>
        <w:t xml:space="preserve"> </w:t>
      </w:r>
      <w:proofErr w:type="spellStart"/>
      <w:r w:rsidRPr="006829B4">
        <w:rPr>
          <w:i/>
        </w:rPr>
        <w:t>gratiam</w:t>
      </w:r>
      <w:proofErr w:type="spellEnd"/>
      <w:r w:rsidRPr="006829B4">
        <w:t>). Tale grazia si manifesta come dono della rivelazione esplicita o come ispirazione interiore.</w:t>
      </w:r>
    </w:p>
    <w:p w:rsidR="006829B4" w:rsidRPr="006829B4" w:rsidRDefault="006829B4" w:rsidP="006829B4">
      <w:pPr>
        <w:ind w:left="170" w:right="113"/>
        <w:jc w:val="both"/>
      </w:pPr>
      <w:r w:rsidRPr="006829B4">
        <w:t xml:space="preserve">4. </w:t>
      </w:r>
      <w:r w:rsidRPr="006829B4">
        <w:rPr>
          <w:i/>
        </w:rPr>
        <w:t xml:space="preserve">Il problema nel contesto della missione «ad </w:t>
      </w:r>
      <w:proofErr w:type="spellStart"/>
      <w:r w:rsidRPr="006829B4">
        <w:rPr>
          <w:i/>
        </w:rPr>
        <w:t>gentes</w:t>
      </w:r>
      <w:proofErr w:type="spellEnd"/>
      <w:r w:rsidRPr="006829B4">
        <w:rPr>
          <w:i/>
        </w:rPr>
        <w:t>»</w:t>
      </w:r>
      <w:r w:rsidRPr="006829B4">
        <w:t xml:space="preserve">. Un segno del cambiamento di mentalità nel rapporto con l’Islam si trova già in S. Francesco, nella </w:t>
      </w:r>
      <w:proofErr w:type="spellStart"/>
      <w:r w:rsidRPr="006829B4">
        <w:rPr>
          <w:i/>
        </w:rPr>
        <w:t>Regula</w:t>
      </w:r>
      <w:proofErr w:type="spellEnd"/>
      <w:r w:rsidRPr="006829B4">
        <w:rPr>
          <w:i/>
        </w:rPr>
        <w:t xml:space="preserve"> non </w:t>
      </w:r>
      <w:proofErr w:type="spellStart"/>
      <w:r w:rsidRPr="006829B4">
        <w:rPr>
          <w:i/>
        </w:rPr>
        <w:t>bullata</w:t>
      </w:r>
      <w:proofErr w:type="spellEnd"/>
      <w:r w:rsidRPr="006829B4">
        <w:t xml:space="preserve"> del 1221: «Qualunque fratello voglia andare missionario tra i musulmani e altri non credenti, ci vada con il permesso del suo ministro e servo… I fratelli che vanno in missione possono comportarsi in due modi in mezzo a questi popoli. Un modo consiste nell’evitare litigi e discussioni “assoggettandosi ad ogni creatura umana per amore di Dio” (1Pt 2,13) e confessando di essere cristiani. L’altro modo consiste nell’annunciare </w:t>
      </w:r>
      <w:smartTag w:uri="urn:schemas-microsoft-com:office:smarttags" w:element="PersonName">
        <w:smartTagPr>
          <w:attr w:name="ProductID" w:val="la Parola"/>
        </w:smartTagPr>
        <w:r w:rsidRPr="006829B4">
          <w:t>la Parola</w:t>
        </w:r>
      </w:smartTag>
      <w:r w:rsidRPr="006829B4">
        <w:t xml:space="preserve"> di Dio, quando vedano che ciò piace al Signore, affinché quelle genti credano». Il problema di un nuovo approccio missionario ai popoli non ancora evangelizzati si impone con la scoperta del Nuovo Mondo. Una conferma </w:t>
      </w:r>
      <w:proofErr w:type="spellStart"/>
      <w:r w:rsidRPr="006829B4">
        <w:t>magisteriale</w:t>
      </w:r>
      <w:proofErr w:type="spellEnd"/>
      <w:r w:rsidRPr="006829B4">
        <w:t xml:space="preserve"> di questa nuova </w:t>
      </w:r>
      <w:r w:rsidRPr="006829B4">
        <w:rPr>
          <w:i/>
        </w:rPr>
        <w:t>percezione di fondo</w:t>
      </w:r>
      <w:r w:rsidRPr="006829B4">
        <w:t xml:space="preserve"> si trova nella condanna delle proposizioni gianseniste da parte di Alessandro VIII (1690). Tale condanna presuppone la presenza della grazia anche tra i credenti di altre religioni. </w:t>
      </w:r>
    </w:p>
    <w:p w:rsidR="006829B4" w:rsidRPr="006829B4" w:rsidRDefault="006829B4" w:rsidP="006829B4">
      <w:pPr>
        <w:ind w:left="170" w:right="113"/>
        <w:jc w:val="both"/>
      </w:pPr>
      <w:r w:rsidRPr="006829B4">
        <w:t xml:space="preserve">5. Cambia invece il </w:t>
      </w:r>
      <w:r w:rsidRPr="006829B4">
        <w:rPr>
          <w:i/>
        </w:rPr>
        <w:t>clima culturale</w:t>
      </w:r>
      <w:r w:rsidRPr="006829B4">
        <w:t xml:space="preserve"> nel secolo XIX. L’intervento dei papi mira a scongiurare l’esito «indifferentista» del pensiero moderno (Gregorio XVI, </w:t>
      </w:r>
      <w:proofErr w:type="spellStart"/>
      <w:r w:rsidRPr="006829B4">
        <w:rPr>
          <w:i/>
        </w:rPr>
        <w:t>Mirari</w:t>
      </w:r>
      <w:proofErr w:type="spellEnd"/>
      <w:r w:rsidRPr="006829B4">
        <w:rPr>
          <w:i/>
        </w:rPr>
        <w:t xml:space="preserve"> </w:t>
      </w:r>
      <w:proofErr w:type="spellStart"/>
      <w:r w:rsidRPr="006829B4">
        <w:rPr>
          <w:i/>
        </w:rPr>
        <w:t>vos</w:t>
      </w:r>
      <w:proofErr w:type="spellEnd"/>
      <w:r w:rsidRPr="006829B4">
        <w:t xml:space="preserve">, 1832; Pio IX, </w:t>
      </w:r>
      <w:r w:rsidRPr="006829B4">
        <w:rPr>
          <w:i/>
        </w:rPr>
        <w:t>Qui pluribus</w:t>
      </w:r>
      <w:r w:rsidRPr="006829B4">
        <w:t>, 1846). Queste precisazioni rispetto alle «libertà moderne» vanno comunque lette accanto alle seguenti notazioni sull’</w:t>
      </w:r>
      <w:r w:rsidRPr="006829B4">
        <w:rPr>
          <w:i/>
        </w:rPr>
        <w:t>ignoranza invincibile</w:t>
      </w:r>
      <w:r w:rsidRPr="006829B4">
        <w:t xml:space="preserve"> e le misteriose vie di Dio (Pio IX, </w:t>
      </w:r>
      <w:r w:rsidRPr="006829B4">
        <w:rPr>
          <w:i/>
        </w:rPr>
        <w:t xml:space="preserve">Singolari </w:t>
      </w:r>
      <w:proofErr w:type="spellStart"/>
      <w:r w:rsidRPr="006829B4">
        <w:rPr>
          <w:i/>
        </w:rPr>
        <w:t>quadam</w:t>
      </w:r>
      <w:proofErr w:type="spellEnd"/>
      <w:r w:rsidRPr="006829B4">
        <w:t>, 1857).</w:t>
      </w:r>
    </w:p>
    <w:p w:rsidR="006829B4" w:rsidRDefault="006829B4" w:rsidP="006829B4">
      <w:pPr>
        <w:ind w:left="170" w:right="113"/>
        <w:jc w:val="both"/>
        <w:rPr>
          <w:sz w:val="22"/>
        </w:rPr>
      </w:pPr>
      <w:r w:rsidRPr="006829B4">
        <w:t xml:space="preserve">6. La necessità di appartenere alla Chiesa per la salvezza è sottolineata di nuovo da Pio XII nell’enciclica </w:t>
      </w:r>
      <w:proofErr w:type="spellStart"/>
      <w:r w:rsidRPr="006829B4">
        <w:rPr>
          <w:i/>
        </w:rPr>
        <w:t>Mystici</w:t>
      </w:r>
      <w:proofErr w:type="spellEnd"/>
      <w:r w:rsidRPr="006829B4">
        <w:rPr>
          <w:i/>
        </w:rPr>
        <w:t xml:space="preserve"> </w:t>
      </w:r>
      <w:proofErr w:type="spellStart"/>
      <w:r w:rsidRPr="006829B4">
        <w:rPr>
          <w:i/>
        </w:rPr>
        <w:t>Corporis</w:t>
      </w:r>
      <w:proofErr w:type="spellEnd"/>
      <w:r w:rsidRPr="006829B4">
        <w:t xml:space="preserve"> del </w:t>
      </w:r>
      <w:smartTag w:uri="urn:schemas-microsoft-com:office:smarttags" w:element="metricconverter">
        <w:smartTagPr>
          <w:attr w:name="ProductID" w:val="1943. In"/>
        </w:smartTagPr>
        <w:r w:rsidRPr="006829B4">
          <w:t>1943. In</w:t>
        </w:r>
      </w:smartTag>
      <w:r w:rsidRPr="006829B4">
        <w:t xml:space="preserve"> essa il pontefice affida alla “tutela celeste” quanti non appartengono all’organismo visibile della Chiesa cattolica «affinché facciano di tutto per sottrarsi al loro stato, in cui non possono sentirsi sicuri della propria salvezza, perché, sebbene da un certo inconsapevole desiderio e anelito siano ordinati al mistico corpo del redentore </w:t>
      </w:r>
      <w:r w:rsidRPr="006829B4">
        <w:rPr>
          <w:i/>
        </w:rPr>
        <w:t xml:space="preserve">(inscio </w:t>
      </w:r>
      <w:proofErr w:type="spellStart"/>
      <w:r w:rsidRPr="006829B4">
        <w:rPr>
          <w:i/>
        </w:rPr>
        <w:t>quodam</w:t>
      </w:r>
      <w:proofErr w:type="spellEnd"/>
      <w:r w:rsidRPr="006829B4">
        <w:rPr>
          <w:i/>
        </w:rPr>
        <w:t xml:space="preserve"> desiderio </w:t>
      </w:r>
      <w:proofErr w:type="spellStart"/>
      <w:r w:rsidRPr="006829B4">
        <w:rPr>
          <w:i/>
        </w:rPr>
        <w:t>ac</w:t>
      </w:r>
      <w:proofErr w:type="spellEnd"/>
      <w:r w:rsidRPr="006829B4">
        <w:rPr>
          <w:i/>
        </w:rPr>
        <w:t xml:space="preserve"> voto ad </w:t>
      </w:r>
      <w:proofErr w:type="spellStart"/>
      <w:r w:rsidRPr="006829B4">
        <w:rPr>
          <w:i/>
        </w:rPr>
        <w:t>mysticum</w:t>
      </w:r>
      <w:proofErr w:type="spellEnd"/>
      <w:r w:rsidRPr="006829B4">
        <w:rPr>
          <w:i/>
        </w:rPr>
        <w:t xml:space="preserve"> </w:t>
      </w:r>
      <w:proofErr w:type="spellStart"/>
      <w:r w:rsidRPr="006829B4">
        <w:rPr>
          <w:i/>
        </w:rPr>
        <w:t>Redemptoris</w:t>
      </w:r>
      <w:proofErr w:type="spellEnd"/>
      <w:r w:rsidRPr="006829B4">
        <w:rPr>
          <w:i/>
        </w:rPr>
        <w:t xml:space="preserve"> Corpus </w:t>
      </w:r>
      <w:proofErr w:type="spellStart"/>
      <w:r w:rsidRPr="006829B4">
        <w:rPr>
          <w:i/>
        </w:rPr>
        <w:t>ordinentur</w:t>
      </w:r>
      <w:proofErr w:type="spellEnd"/>
      <w:r w:rsidRPr="006829B4">
        <w:rPr>
          <w:i/>
        </w:rPr>
        <w:t>)</w:t>
      </w:r>
      <w:r w:rsidRPr="006829B4">
        <w:t xml:space="preserve">, tuttavia sono privi di quei tanti doni e aiuti celesti che solo nella Chiesa cattolica è dato di godere». Eppure è proprio sotto il pontificato di Pio XII che il S. Ufficio interviene sul vero significato dell’assioma </w:t>
      </w:r>
      <w:r w:rsidRPr="006829B4">
        <w:rPr>
          <w:i/>
        </w:rPr>
        <w:t xml:space="preserve">«extra </w:t>
      </w:r>
      <w:proofErr w:type="spellStart"/>
      <w:r w:rsidRPr="006829B4">
        <w:rPr>
          <w:i/>
        </w:rPr>
        <w:t>Ecclesiam</w:t>
      </w:r>
      <w:proofErr w:type="spellEnd"/>
      <w:r w:rsidRPr="006829B4">
        <w:rPr>
          <w:i/>
        </w:rPr>
        <w:t xml:space="preserve"> nulla </w:t>
      </w:r>
      <w:proofErr w:type="spellStart"/>
      <w:r w:rsidRPr="006829B4">
        <w:rPr>
          <w:i/>
        </w:rPr>
        <w:t>salus</w:t>
      </w:r>
      <w:proofErr w:type="spellEnd"/>
      <w:r w:rsidRPr="006829B4">
        <w:rPr>
          <w:i/>
        </w:rPr>
        <w:t>»</w:t>
      </w:r>
      <w:r w:rsidRPr="006829B4">
        <w:t xml:space="preserve">, contro la lettura rigorista e rigida del padre gesuita L. </w:t>
      </w:r>
      <w:proofErr w:type="spellStart"/>
      <w:r w:rsidRPr="006829B4">
        <w:t>Feeney</w:t>
      </w:r>
      <w:proofErr w:type="spellEnd"/>
      <w:r w:rsidRPr="006829B4">
        <w:t xml:space="preserve"> (1949).</w:t>
      </w:r>
    </w:p>
    <w:p w:rsidR="006829B4" w:rsidRDefault="006829B4" w:rsidP="006829B4">
      <w:pPr>
        <w:jc w:val="both"/>
      </w:pPr>
    </w:p>
    <w:p w:rsidR="002E3110" w:rsidRDefault="002E3110" w:rsidP="002E3110">
      <w:pPr>
        <w:jc w:val="center"/>
      </w:pPr>
      <w:r>
        <w:t xml:space="preserve">2. </w:t>
      </w:r>
      <w:r w:rsidRPr="002E3110">
        <w:rPr>
          <w:i/>
        </w:rPr>
        <w:t>Una prima reazione alla scoperta della storicità</w:t>
      </w:r>
      <w:r>
        <w:rPr>
          <w:i/>
        </w:rPr>
        <w:t xml:space="preserve"> del cristianesimo</w:t>
      </w:r>
      <w:r w:rsidRPr="002E3110">
        <w:rPr>
          <w:i/>
        </w:rPr>
        <w:t>: la crisi modernista</w:t>
      </w:r>
    </w:p>
    <w:p w:rsidR="002E3110" w:rsidRDefault="002E3110" w:rsidP="006829B4">
      <w:pPr>
        <w:jc w:val="both"/>
      </w:pPr>
    </w:p>
    <w:p w:rsidR="002E3110" w:rsidRDefault="002E3110" w:rsidP="002E3110">
      <w:pPr>
        <w:jc w:val="both"/>
      </w:pPr>
      <w:r>
        <w:t xml:space="preserve">All’inizio della crisi modernista </w:t>
      </w:r>
      <w:r w:rsidR="00C47DE6">
        <w:t xml:space="preserve">(fine ‘800 inizio ‘900) </w:t>
      </w:r>
      <w:r>
        <w:t>c’è un conflitto tra lettura storico-critica dei documenti della fede e lettura credente. La problematica si impone come questione dell’applicabilità ai documenti della fede d</w:t>
      </w:r>
      <w:r w:rsidR="00C47DE6">
        <w:t>e</w:t>
      </w:r>
      <w:r>
        <w:t>i metodi di indagine storico-critica, che esigono di trattare questi documenti alla stregua di ogni altro testo antico. Ne deriva un conflitto tra scienziato e credente, tra esigenze della storia e del dogma, che rende acuta la domanda di principio: quale applicabilità della critica è ammissibile per i fondamenti della fede? Quale autonomia della ricerca scientifica rispetto alle certezze della fede e del dogma? Quale libertà-neutralità del ricercatore al di là delle ingenuità ermeneutiche dei «neocritici» o delle sovra-determinazioni dogmatiche dei teologi scolastici? Queste domande, in verità, ripropongono la questione più radicale del fondamento storico della fede. A questo livello lo scontro rimanda allo sfondo culturale, segnato dai progressi delle scienze naturali, con la nuova visione delle origini dell’umanità, ma anche dalle scoperte archeologiche che portano a una revisione della storia dell’umanità primitiva, ponendo domande nuove alla narrazione biblica della storia delle origini. Da qui la necessità di reinterpretare alcune nozioni fondamentali della teologia come l’ispirazione della Scrittura, il canone, l’inerranza biblica e quant’altro. L’istanza metodologica iniziale diventa problema teologico.</w:t>
      </w:r>
    </w:p>
    <w:p w:rsidR="002E3110" w:rsidRDefault="002E3110" w:rsidP="002E3110">
      <w:pPr>
        <w:jc w:val="both"/>
      </w:pPr>
    </w:p>
    <w:p w:rsidR="002E3110" w:rsidRDefault="002E3110" w:rsidP="002E3110">
      <w:pPr>
        <w:jc w:val="both"/>
      </w:pPr>
      <w:r w:rsidRPr="00DF59D3">
        <w:rPr>
          <w:i/>
        </w:rPr>
        <w:lastRenderedPageBreak/>
        <w:t>(a)</w:t>
      </w:r>
      <w:r w:rsidRPr="00753437">
        <w:rPr>
          <w:i/>
        </w:rPr>
        <w:t xml:space="preserve"> Una trasformazione storica del cristianesimo</w:t>
      </w:r>
      <w:r>
        <w:t>. L’istanza dell’esperienza o dell’interpretazione «mistica» della rivelazione mette in campo la domanda cruciale sul senso della «</w:t>
      </w:r>
      <w:proofErr w:type="spellStart"/>
      <w:r>
        <w:t>concettualità</w:t>
      </w:r>
      <w:proofErr w:type="spellEnd"/>
      <w:r>
        <w:t xml:space="preserve"> teologica» rispetto al discorso biblico, spesso evocativo o narrativo o metaforico. Si tratta di verificare cosa significa «concettualizzare» la verità del Gesù della storia nella confessione del Cristo della fede. Non è certo solo una giustapposizione di umano e divino, di tempo storico e eternità atemporale, di evento contingente e significato eterno</w:t>
      </w:r>
      <w:r>
        <w:rPr>
          <w:rStyle w:val="Rimandonotaapidipagina"/>
        </w:rPr>
        <w:footnoteReference w:id="3"/>
      </w:r>
      <w:r>
        <w:t>. All’origine della crisi modernista si trova proprio la questione biblica, intesa come una nuova pratica di lettura del testo sacro, che applica il metodo critico alla Scrittura. Tale nuova operazione di lettura non è indolore. Implica una serie di problemi ermeneutici e culturali, ma anche metodologici e teologici (senso dell’ispirazione, estensione dell’inerranza, idea di rivelazione). La portata culturale e sociale di questa operazione non va sopravvalutata, almeno nelle intenzioni</w:t>
      </w:r>
      <w:r>
        <w:rPr>
          <w:rStyle w:val="Rimandonotaapidipagina"/>
        </w:rPr>
        <w:footnoteReference w:id="4"/>
      </w:r>
      <w:r>
        <w:t>. Il senso dell’operazione rimanda dunque all’esigenza di ripensare al significato della fede e quindi al senso della verità rivelata in relazione alla storia, e non contro di essa</w:t>
      </w:r>
      <w:r w:rsidRPr="009D3ADB">
        <w:rPr>
          <w:rStyle w:val="Rimandonotaapidipagina"/>
          <w:sz w:val="22"/>
        </w:rPr>
        <w:footnoteReference w:id="5"/>
      </w:r>
      <w:r w:rsidRPr="009D3ADB">
        <w:rPr>
          <w:sz w:val="22"/>
        </w:rPr>
        <w:t>.</w:t>
      </w:r>
      <w:r>
        <w:rPr>
          <w:sz w:val="22"/>
        </w:rPr>
        <w:t xml:space="preserve"> </w:t>
      </w:r>
      <w:r>
        <w:t>La nuova pratica di lettura della Bibbia raccoglieva l’esigenza di ri</w:t>
      </w:r>
      <w:r w:rsidR="00C47DE6">
        <w:t>dire</w:t>
      </w:r>
      <w:r>
        <w:t xml:space="preserve"> l’essenza del cristianesimo e quindi il senso della rivelazione e il cuore della fede con strumenti culturali meno legati alla </w:t>
      </w:r>
      <w:proofErr w:type="spellStart"/>
      <w:r>
        <w:t>concettualità</w:t>
      </w:r>
      <w:proofErr w:type="spellEnd"/>
      <w:r>
        <w:t xml:space="preserve"> filosofica e teologica scolastica e più sensibili alla storia</w:t>
      </w:r>
      <w:r>
        <w:rPr>
          <w:rStyle w:val="Rimandonotaapidipagina"/>
        </w:rPr>
        <w:footnoteReference w:id="6"/>
      </w:r>
      <w:r>
        <w:t xml:space="preserve">. Si potrebbe dire che la sfida raccolta dagli autori poi definiti «modernisti» fu quella di una trasformazione culturale che permettesse di esprimere in termini storici ciò che fu pensato in termini metafisici. Ciò implicava due versanti. Il primo è </w:t>
      </w:r>
      <w:r w:rsidRPr="000F47D8">
        <w:rPr>
          <w:i/>
        </w:rPr>
        <w:t>l’attitudine antifilosofica di questa trascrizione storica della fede</w:t>
      </w:r>
      <w:r>
        <w:t xml:space="preserve">, dietro la quale si nasconde una negazione dell’elemento dottrinale e dogmatico come dato originario del cristianesimo. Si tratta dunque di una nuova comprensione dell’«essenza del cristianesimo». Di fatto la contestazione del metodo scolastico e della teologia cattolica è venuta anzitutto da parte degli storici. A. Von </w:t>
      </w:r>
      <w:proofErr w:type="spellStart"/>
      <w:r>
        <w:t>Harnack</w:t>
      </w:r>
      <w:proofErr w:type="spellEnd"/>
      <w:r>
        <w:t>, nell’</w:t>
      </w:r>
      <w:r w:rsidRPr="00CB06C4">
        <w:rPr>
          <w:i/>
        </w:rPr>
        <w:t>Essenza del cristianesimo</w:t>
      </w:r>
      <w:r>
        <w:t xml:space="preserve"> (1900), ha sostenuto che il cristianesimo autentico, il «vangelo di Gesù», è un moralismo religioso privo di una vera e propria elaborazione dottrinale o dogmatica. Questa viene dopo, in seguito all’incontro con la filosofia greca e con la formulazione di tesi metafisiche sulla natura divina del Cristo. Anche l’opera di A. </w:t>
      </w:r>
      <w:proofErr w:type="spellStart"/>
      <w:r>
        <w:t>Loisy</w:t>
      </w:r>
      <w:proofErr w:type="spellEnd"/>
      <w:r>
        <w:t xml:space="preserve"> è legata al metodo storico e i suoi giudizi sono espressione di questa fedeltà. Egli pensava che la ricerca storica possedesse una propria legittimità indipendente, e se manteneva la distinzione tra verità storica e verità dogmatica, era però convinto che una presentazione storica del cristianesimo dovesse prevalere sulla sua interpretazione nei termini della metafisica scolastica. </w:t>
      </w:r>
      <w:r>
        <w:lastRenderedPageBreak/>
        <w:t xml:space="preserve">In questo tipo di proposito </w:t>
      </w:r>
      <w:proofErr w:type="spellStart"/>
      <w:r>
        <w:t>Loisy</w:t>
      </w:r>
      <w:proofErr w:type="spellEnd"/>
      <w:r>
        <w:t xml:space="preserve"> si incontra pienamente con </w:t>
      </w:r>
      <w:proofErr w:type="spellStart"/>
      <w:r>
        <w:t>Harnack</w:t>
      </w:r>
      <w:proofErr w:type="spellEnd"/>
      <w:r>
        <w:t xml:space="preserve">: la filosofia non è più lo strumento di una presentazione del cristianesimo all’umanità moderna, perché questo compito è passato alla storia. Proprio la scienza storica è in grado di scindere il «nucleo originario» dalla «scorza» delle molteplici stratificazioni culturali, l’essenza morale dal rivestimento metafisico o teologico. Il cristianesimo è «vita», nel senso di un processo di sviluppo, in cui l’organismo si arricchisce di nuove determinazioni in uno sviluppo vitale continuo. Certo, in questo processo continuo ha avuto un ruolo anche la mediazione filosofica. Ma essa ha limitato l’essenza del vangelo alla cultura di un’epoca e rischia ora di strangolare questa «vita» riducendola a formule astratte. Occorre tornare all’essenza. Ma proprio a questo livello emerge la differenza di </w:t>
      </w:r>
      <w:proofErr w:type="spellStart"/>
      <w:r>
        <w:t>Loisy</w:t>
      </w:r>
      <w:proofErr w:type="spellEnd"/>
      <w:r>
        <w:t xml:space="preserve"> e la sua opposizione ad </w:t>
      </w:r>
      <w:proofErr w:type="spellStart"/>
      <w:r>
        <w:t>Harnack</w:t>
      </w:r>
      <w:proofErr w:type="spellEnd"/>
      <w:r>
        <w:t xml:space="preserve">. Se è vero che occorre mantenere la distinzione tra la verità trascendente e la dottrina che cerca di esprimerla, ciò non significa che ci si possa liberare dei simboli e delle immagini, poiché il divino in sé è inaccessibile e le forme in cui si manifesta all’uomo sono mutevoli ma ineliminabili. </w:t>
      </w:r>
      <w:proofErr w:type="spellStart"/>
      <w:r>
        <w:t>Harnack</w:t>
      </w:r>
      <w:proofErr w:type="spellEnd"/>
      <w:r>
        <w:t xml:space="preserve"> e in generale la teologia protestante possono relativizzare la scorza proprio perché hanno operato una riduzione psicologica del divino e ultimamente una riduzione filosofica che imprigiona il divino nell’interiorità e nella coscienza. Il Vangelo in verità si è sempre intrecciato con le culture. Non si può pensare in termini oppositivi questo rapporto o immaginare un processo che finirebbe per sottrarre la religione alla storia, cioè alla concretezza umana del rapporto religioso. Si comprende l’importanza della nozione di simbolo quale espressione storica della fede. Le aspirazioni all’infinito dell’umanità sono manifestate sempre in modo finito e in forma immaginativa, sensibile e non solo concettuale. E comunque sia i simboli che le definizioni concettuali (dogmatiche) sono relativi a un certo stato delle conoscenze, a una certa visione del mondo, le quali mutano e chiedono una nuova traduzione</w:t>
      </w:r>
      <w:r w:rsidRPr="001B3811">
        <w:rPr>
          <w:rStyle w:val="Rimandonotaapidipagina"/>
          <w:sz w:val="22"/>
        </w:rPr>
        <w:footnoteReference w:id="7"/>
      </w:r>
      <w:r w:rsidRPr="001B3811">
        <w:rPr>
          <w:sz w:val="22"/>
        </w:rPr>
        <w:t>.</w:t>
      </w:r>
      <w:r>
        <w:rPr>
          <w:sz w:val="22"/>
        </w:rPr>
        <w:t xml:space="preserve"> </w:t>
      </w:r>
      <w:r>
        <w:t xml:space="preserve">L’intento di </w:t>
      </w:r>
      <w:proofErr w:type="spellStart"/>
      <w:r>
        <w:t>Loisy</w:t>
      </w:r>
      <w:proofErr w:type="spellEnd"/>
      <w:r>
        <w:t xml:space="preserve"> è quello di mantenere la distinzione tra il linguaggio finito e limitato della fede, legato a una certa visione del mondo, e l’assoluto divino inafferrabile, che non è direttamente rappresentato nel linguaggio umano. In tal modo è possibile difenderne il valore di fronte alle istanze scientifiche moderne. La domanda che sorge da simili considerazioni è se questa riduzione storicista ed ermeneutica della religione non porti con sé una riduzione della stessa religione a cultura, spostando l’asse rivelazione-fede sull’asse esperienza/intuizione religiosa-rivestimento culturale. </w:t>
      </w:r>
    </w:p>
    <w:p w:rsidR="002E3110" w:rsidRDefault="002E3110" w:rsidP="002E3110">
      <w:pPr>
        <w:jc w:val="both"/>
      </w:pPr>
    </w:p>
    <w:p w:rsidR="002E3110" w:rsidRDefault="002E3110" w:rsidP="002E3110">
      <w:pPr>
        <w:jc w:val="both"/>
      </w:pPr>
      <w:r w:rsidRPr="006301D3">
        <w:rPr>
          <w:i/>
        </w:rPr>
        <w:t>(b)</w:t>
      </w:r>
      <w:r w:rsidRPr="00753437">
        <w:rPr>
          <w:i/>
        </w:rPr>
        <w:t xml:space="preserve"> </w:t>
      </w:r>
      <w:r>
        <w:rPr>
          <w:i/>
        </w:rPr>
        <w:t>Implicazioni teologiche di questa trasformazione</w:t>
      </w:r>
      <w:r>
        <w:t>. L’operazione di trascrizione storica dell’essenza del cristianesimo non è indolore. Il ragionamento che domina l’epoca è più o meno questo: il dogma dice cose vere in un linguaggio metafisico o simbolico, che era perfettamente adatto al mondo antico, ma risulta fuorviante per la mentalità moderna. Si tratta allora di dire finalmente ciò che il dogma intendeva dire, in un linguaggio comprensibile. Ma il cambiamento di linguaggio non lascia affatto la cosa immutata: per la metafisica teologica Cristo è Dio, per la storiografia scientifica la questione è priva di senso oppure rimane estranea alla sua competenza. Essa può descrivere le credenze di certe comunità, può cogliere il processo di divinizzazione che conduce dal profeta ispirato e figlio di Dio a una persona che è essa stessa Dio. Ma non può assumere queste credenze come proprie. Lo stesso vale di avvenimenti come la risurrezione: un evento storico è qualcosa di identificabile come reale in base alla sua posizione nel tempo e nello spazio e all’interno del nesso causale dei fenomeni mondani</w:t>
      </w:r>
      <w:r>
        <w:rPr>
          <w:rStyle w:val="Rimandonotaapidipagina"/>
        </w:rPr>
        <w:footnoteReference w:id="8"/>
      </w:r>
      <w:r>
        <w:t xml:space="preserve">. Ne deriva che la stessa risurrezione come la divinità di Cristo devono essere comprese in modo nuovo, in un modo che sia compatibile con la visione espressa dell’essenza del cristianesimo. Ma se la divinizzazione di Cristo è il frutto di un processo culturale, l’originario essenziale (il germe da cui viene la pianta) starà nella coscienza </w:t>
      </w:r>
      <w:r>
        <w:lastRenderedPageBreak/>
        <w:t>religiosa di Gesù, che ha dato il via a tale processo</w:t>
      </w:r>
      <w:r w:rsidRPr="001B3811">
        <w:rPr>
          <w:rStyle w:val="Rimandonotaapidipagina"/>
          <w:sz w:val="22"/>
        </w:rPr>
        <w:footnoteReference w:id="9"/>
      </w:r>
      <w:r w:rsidRPr="001B3811">
        <w:rPr>
          <w:sz w:val="22"/>
        </w:rPr>
        <w:t>.</w:t>
      </w:r>
      <w:r>
        <w:rPr>
          <w:sz w:val="22"/>
        </w:rPr>
        <w:t xml:space="preserve"> </w:t>
      </w:r>
      <w:r>
        <w:t>Si può cogliere in tutta la sua portata l’operazione di riduzione ermeneutica e storico-psicologica del cristianesimo</w:t>
      </w:r>
      <w:r w:rsidRPr="001B3811">
        <w:rPr>
          <w:rStyle w:val="Rimandonotaapidipagina"/>
          <w:sz w:val="22"/>
        </w:rPr>
        <w:footnoteReference w:id="10"/>
      </w:r>
      <w:r w:rsidRPr="001B3811">
        <w:rPr>
          <w:sz w:val="22"/>
        </w:rPr>
        <w:t>.</w:t>
      </w:r>
      <w:r>
        <w:rPr>
          <w:sz w:val="22"/>
        </w:rPr>
        <w:t xml:space="preserve"> </w:t>
      </w:r>
      <w:r w:rsidRPr="001B3811">
        <w:t xml:space="preserve">Di fronte a simili considerazioni viene spontaneo chiedersi se la trascrizione storicista del cristianesimo non implichi di fatto una perdita del referente reale della fede. Non si tratta insomma di una semplice operazione di traduzione di ciò che volevano dire i vecchi concetti metafisici e dogmatici in un linguaggio più credibile per il mondo moderno. Si tratta di una vera e propria trasformazione dell’oggetto di fede. </w:t>
      </w:r>
    </w:p>
    <w:p w:rsidR="002E3110" w:rsidRPr="001B3811" w:rsidRDefault="002E3110" w:rsidP="002E3110">
      <w:pPr>
        <w:jc w:val="both"/>
      </w:pPr>
      <w:r w:rsidRPr="001B3811">
        <w:t xml:space="preserve">Su questo sfondo è possibile comprendere la reazione di </w:t>
      </w:r>
      <w:proofErr w:type="spellStart"/>
      <w:r w:rsidRPr="001B3811">
        <w:t>Loisy</w:t>
      </w:r>
      <w:proofErr w:type="spellEnd"/>
      <w:r w:rsidRPr="001B3811">
        <w:t xml:space="preserve"> all’opera di </w:t>
      </w:r>
      <w:proofErr w:type="spellStart"/>
      <w:r w:rsidRPr="001B3811">
        <w:t>Harnack</w:t>
      </w:r>
      <w:proofErr w:type="spellEnd"/>
      <w:r w:rsidRPr="001B3811">
        <w:t>, reazione che di fatto scatena la crisi modernista</w:t>
      </w:r>
      <w:r w:rsidRPr="001B3811">
        <w:rPr>
          <w:rStyle w:val="Rimandonotaapidipagina"/>
          <w:sz w:val="22"/>
        </w:rPr>
        <w:footnoteReference w:id="11"/>
      </w:r>
      <w:r w:rsidRPr="001B3811">
        <w:t xml:space="preserve">. L’opera apparsa nel 1902 dal titolo </w:t>
      </w:r>
      <w:r w:rsidRPr="001B3811">
        <w:rPr>
          <w:i/>
        </w:rPr>
        <w:t>L’</w:t>
      </w:r>
      <w:proofErr w:type="spellStart"/>
      <w:r w:rsidRPr="001B3811">
        <w:rPr>
          <w:i/>
        </w:rPr>
        <w:t>Evangile</w:t>
      </w:r>
      <w:proofErr w:type="spellEnd"/>
      <w:r w:rsidRPr="001B3811">
        <w:rPr>
          <w:i/>
        </w:rPr>
        <w:t xml:space="preserve"> et l’</w:t>
      </w:r>
      <w:proofErr w:type="spellStart"/>
      <w:r w:rsidRPr="001B3811">
        <w:rPr>
          <w:i/>
        </w:rPr>
        <w:t>Eglise</w:t>
      </w:r>
      <w:proofErr w:type="spellEnd"/>
      <w:r w:rsidRPr="001B3811">
        <w:t xml:space="preserve"> intendeva essere una critica costruttiva all’</w:t>
      </w:r>
      <w:r w:rsidRPr="001B3811">
        <w:rPr>
          <w:i/>
        </w:rPr>
        <w:t>Essenza del cristianesimo</w:t>
      </w:r>
      <w:r w:rsidRPr="001B3811">
        <w:t xml:space="preserve"> di von </w:t>
      </w:r>
      <w:proofErr w:type="spellStart"/>
      <w:r w:rsidRPr="001B3811">
        <w:t>Harnack</w:t>
      </w:r>
      <w:proofErr w:type="spellEnd"/>
      <w:r w:rsidRPr="001B3811">
        <w:rPr>
          <w:rStyle w:val="Rimandonotaapidipagina"/>
          <w:sz w:val="22"/>
        </w:rPr>
        <w:footnoteReference w:id="12"/>
      </w:r>
      <w:r w:rsidRPr="001B3811">
        <w:t>.</w:t>
      </w:r>
      <w:r>
        <w:t xml:space="preserve"> </w:t>
      </w:r>
      <w:r w:rsidRPr="001B3811">
        <w:t xml:space="preserve">La prima critica è la riduzione psicologica e quindi interiore della religione, che nel suo nucleo o nella sua essenza rimanda all’esperienza religiosa di Gesù. Oltre al difetto protestante di un certo individualismo e soggettivismo, </w:t>
      </w:r>
      <w:proofErr w:type="spellStart"/>
      <w:r w:rsidRPr="001B3811">
        <w:t>Loisy</w:t>
      </w:r>
      <w:proofErr w:type="spellEnd"/>
      <w:r w:rsidRPr="001B3811">
        <w:t xml:space="preserve"> fa valere un’istanza che può essere colta nel gioco delle immagini: non si tratta di cercare un nucleo al di là della scorza o di separare l’essenza da rivestimenti. Così di fatto si s</w:t>
      </w:r>
      <w:r>
        <w:t xml:space="preserve">ceglie l’interiorità isolata </w:t>
      </w:r>
      <w:r w:rsidRPr="001B3811">
        <w:t>di grandi personalità religiose a scapito della storia e del processo culturale di trasformazione. Si tratta piuttosto di cogliere il seme nella pianta, il germe negli sviluppi successivi, che pur sono rip</w:t>
      </w:r>
      <w:r>
        <w:t>resa</w:t>
      </w:r>
      <w:r w:rsidRPr="001B3811">
        <w:t xml:space="preserve"> e attualizzazione della forza del germe, indissociabili da esso come questo è inseparabile dalle sue realizzazioni storiche. Di fatto cercare l’essenza, il nucleo significa perdere di nuovo il valore della storia, rifugiandosi in un nuovo principio a-storico e a-temporale in cui si realizzerebbe l’essenza del cristianesimo. Bisogna invece cogliere </w:t>
      </w:r>
      <w:r w:rsidRPr="001B3811">
        <w:rPr>
          <w:i/>
        </w:rPr>
        <w:t>nella storia</w:t>
      </w:r>
      <w:r w:rsidRPr="001B3811">
        <w:t xml:space="preserve"> e quindi nel processo storico del cristianesimo l’</w:t>
      </w:r>
      <w:r w:rsidRPr="00664AC8">
        <w:rPr>
          <w:i/>
        </w:rPr>
        <w:t>azione del germe</w:t>
      </w:r>
      <w:r w:rsidRPr="001B3811">
        <w:t xml:space="preserve"> che si </w:t>
      </w:r>
      <w:r>
        <w:t>sviluppa</w:t>
      </w:r>
      <w:r w:rsidRPr="001B3811">
        <w:t xml:space="preserve">, la presenza della forza del seme. </w:t>
      </w:r>
      <w:smartTag w:uri="urn:schemas-microsoft-com:office:smarttags" w:element="PersonName">
        <w:smartTagPr>
          <w:attr w:name="ProductID" w:val="la Chiesa"/>
        </w:smartTagPr>
        <w:r w:rsidRPr="001B3811">
          <w:t>La Chiesa</w:t>
        </w:r>
      </w:smartTag>
      <w:r w:rsidRPr="001B3811">
        <w:t xml:space="preserve"> è lo sviluppo di questo seme gettato da Gesù.</w:t>
      </w:r>
      <w:r>
        <w:t xml:space="preserve"> </w:t>
      </w:r>
      <w:r w:rsidRPr="001B3811">
        <w:t xml:space="preserve">La seconda critica deriva da quanto detto: prendere sul serio la storia significa recuperare il valore di continuità nella differenza del germe/seme iniziale nel processo storico. Tale continuità rimanda alla comunità dei cristiani e quindi al principio di tradizione. Gesù è l’inizio di un processo che si estende fino ad oggi secondo un progresso evolutivo o un accrescimento che mantiene la continuità pur nella novità. L’osservazione di </w:t>
      </w:r>
      <w:proofErr w:type="spellStart"/>
      <w:r w:rsidRPr="001B3811">
        <w:t>Loisy</w:t>
      </w:r>
      <w:proofErr w:type="spellEnd"/>
      <w:r w:rsidRPr="001B3811">
        <w:t xml:space="preserve"> permette di fatto di ricollocare i testi nella comunità e quindi nella tradizione, stabilendo un rapporto tra due comunità e non solo tra individui. Ma la sua scelta di autonomia della ricerca </w:t>
      </w:r>
      <w:r>
        <w:t xml:space="preserve">storica lo spinge a </w:t>
      </w:r>
      <w:r w:rsidRPr="001B3811">
        <w:t xml:space="preserve">cercare uno strato primitivo non ancora coinvolto nel processo di idealizzazione-divinizzazione: </w:t>
      </w:r>
      <w:r>
        <w:t>l</w:t>
      </w:r>
      <w:r w:rsidRPr="001B3811">
        <w:t xml:space="preserve">a divinità di Gesù non è un elemento della storia di cui si possa verificare criticamente la realtà, </w:t>
      </w:r>
      <w:r>
        <w:t>quanto piuttosto</w:t>
      </w:r>
      <w:r w:rsidRPr="001B3811">
        <w:t xml:space="preserve"> una credenza di cui lo storico non può che rilevare l’origine e lo sviluppo. Questa giustapposizione tra fatto e dogma, verità storica e interpretazione di fede chiede di verificare il senso che si dà alle nozioni di «fatto, realtà storica». </w:t>
      </w:r>
      <w:r w:rsidRPr="00E044A6">
        <w:t>È</w:t>
      </w:r>
      <w:r>
        <w:t xml:space="preserve"> </w:t>
      </w:r>
      <w:r w:rsidRPr="001B3811">
        <w:t xml:space="preserve">l’istanza che l’intervento di M. </w:t>
      </w:r>
      <w:proofErr w:type="spellStart"/>
      <w:r w:rsidRPr="001B3811">
        <w:t>Blondel</w:t>
      </w:r>
      <w:proofErr w:type="spellEnd"/>
      <w:r w:rsidRPr="001B3811">
        <w:t xml:space="preserve"> urgerà contro </w:t>
      </w:r>
      <w:proofErr w:type="spellStart"/>
      <w:r w:rsidRPr="001B3811">
        <w:t>Loisy</w:t>
      </w:r>
      <w:proofErr w:type="spellEnd"/>
      <w:r w:rsidRPr="001B3811">
        <w:t>.</w:t>
      </w:r>
    </w:p>
    <w:p w:rsidR="002E3110" w:rsidRDefault="002E3110" w:rsidP="002E3110">
      <w:pPr>
        <w:jc w:val="both"/>
      </w:pPr>
    </w:p>
    <w:p w:rsidR="002E3110" w:rsidRDefault="002E3110" w:rsidP="002E3110">
      <w:pPr>
        <w:jc w:val="both"/>
      </w:pPr>
      <w:r>
        <w:rPr>
          <w:i/>
        </w:rPr>
        <w:t>(c) Il problema del riconoscimento dei</w:t>
      </w:r>
      <w:r w:rsidRPr="00BE27EB">
        <w:rPr>
          <w:i/>
        </w:rPr>
        <w:t xml:space="preserve"> «fatti storici»</w:t>
      </w:r>
      <w:r>
        <w:rPr>
          <w:rStyle w:val="Rimandonotaapidipagina"/>
        </w:rPr>
        <w:footnoteReference w:id="13"/>
      </w:r>
      <w:r>
        <w:t xml:space="preserve">. L’idea di un’«apologia storica della religione» deriva dalla convinzione che la verità in senso pieno è Cristo o l’Incarnazione, ossia l’ingresso reale di Dio nella storia degli uomini e quindi un seguito di avvenimenti, di eventi realmente accaduti nel passato. Il cristianesimo ha bisogno di mostrare avvenimenti esterni, visibili, controllabili. Quindi la scienza può servire alla fede, perché se la fede ci fornisce il significato </w:t>
      </w:r>
      <w:r>
        <w:lastRenderedPageBreak/>
        <w:t xml:space="preserve">religioso o morale degli avvenimenti, la scienza interviene ad assicurare la realtà dell’Incarnazione. </w:t>
      </w:r>
      <w:proofErr w:type="spellStart"/>
      <w:r>
        <w:t>Blondel</w:t>
      </w:r>
      <w:proofErr w:type="spellEnd"/>
      <w:r>
        <w:t xml:space="preserve"> si attesta nella stessa direzione nella sua </w:t>
      </w:r>
      <w:r w:rsidRPr="00326144">
        <w:rPr>
          <w:i/>
        </w:rPr>
        <w:t>Lettera sull’apologetica</w:t>
      </w:r>
      <w:r>
        <w:t xml:space="preserve"> del 1896. Egli non intende cambiare o annullare i modelli tradizionali dell’apologetica, ma mostrare la necessità di un approfondimento filosofico di quegli stessi metodi, i quali possono così ottenere la loro piena capacità di convinzione in quanto riuniti insieme sul fondamento del metodo che il filosofo viene definendo. Occorre insomma rifondare la forza dei segni esterni evitando gli estremi dello storicismo (</w:t>
      </w:r>
      <w:proofErr w:type="spellStart"/>
      <w:r>
        <w:t>Loisy</w:t>
      </w:r>
      <w:proofErr w:type="spellEnd"/>
      <w:r>
        <w:t>) e dell’</w:t>
      </w:r>
      <w:proofErr w:type="spellStart"/>
      <w:r>
        <w:t>estrinsecismo</w:t>
      </w:r>
      <w:proofErr w:type="spellEnd"/>
      <w:r>
        <w:t xml:space="preserve"> (apologetica classica). Ma a questo livello della problematica emerge una difficoltà: la scienza non può mostrare la storicità o la verità di tutti i fatti che la religione intende necessariamente come reali. O meglio: la scienza ha una nozione diversa di «fatto storico». La storia si attiene ai fatti, che rappresentano solo l’aspetto superficiale, esteriore della religione. La filosofia, invece, può molto di più nel campo delle idee. Ma questa divaricazione implica, secondo </w:t>
      </w:r>
      <w:proofErr w:type="spellStart"/>
      <w:r>
        <w:t>Blondel</w:t>
      </w:r>
      <w:proofErr w:type="spellEnd"/>
      <w:r>
        <w:t xml:space="preserve"> e contro </w:t>
      </w:r>
      <w:proofErr w:type="spellStart"/>
      <w:r>
        <w:t>Loisy</w:t>
      </w:r>
      <w:proofErr w:type="spellEnd"/>
      <w:r>
        <w:t xml:space="preserve">, che la ricerca storica non abbia raggiunto uno sviluppo e un approfondimento critico sufficiente per costituire il luogo ideale di un’interpretazione moderna del cristianesimo. La scienza storica che </w:t>
      </w:r>
      <w:proofErr w:type="spellStart"/>
      <w:r>
        <w:t>Loisy</w:t>
      </w:r>
      <w:proofErr w:type="spellEnd"/>
      <w:r>
        <w:t xml:space="preserve"> esaltava come un sapere autonomo, che non può sottomettersi al alcuna esigenza esteriore, è in realtà una forma di sapere parziale. Essa non può classificare un avvenimento come reale se non lo identifica nell’ambito spazio-temporale di sua competenza, se non appartiene al mondo della percezione o dell’esperienza di cui si occupa. Detto altrimenti: se non è inserito nel concatenamento causale generale. In questa direzione, però, ci troviamo a dover negare la realtà e la storicità di avvenimenti che sono fondamentali per il cristianesimo (come la risurrezione e l’incarnazione). Dunque </w:t>
      </w:r>
      <w:proofErr w:type="spellStart"/>
      <w:r>
        <w:t>Blondel</w:t>
      </w:r>
      <w:proofErr w:type="spellEnd"/>
      <w:r>
        <w:t xml:space="preserve"> si trova tra due fuochi: da un lato riconosce che l’apologetica storica è assolutamente necessaria al cristianesimo, poiché si tratta non di un sapere da trasmettere, ma di un incontro reale e storico; dall’altro si rende conto che la qualità di questa realtà dei «fatti cristiani» è del tutto particolare e lo statuto epistemologico della scienza storica contemporanea non permette ancora di comprenderli. Si comprendono i termini del conflitto: per </w:t>
      </w:r>
      <w:proofErr w:type="spellStart"/>
      <w:r>
        <w:t>Loisy</w:t>
      </w:r>
      <w:proofErr w:type="spellEnd"/>
      <w:r>
        <w:t xml:space="preserve"> la storia come concatenamento di fenomeni è veramente il tutto, mentre </w:t>
      </w:r>
      <w:proofErr w:type="spellStart"/>
      <w:r>
        <w:t>Blondel</w:t>
      </w:r>
      <w:proofErr w:type="spellEnd"/>
      <w:r>
        <w:t xml:space="preserve"> ammette che la storia sia un insieme meccanicamente connesso, un sistema di cause, ma solo a un livello superficiale, dietro il quale si nasconde una storia più vera, quella di un’umanità che ha in Dio le proprie radici. Questo livello si può scoprire con l’aiuto della Chiesa. Ciò significa, per </w:t>
      </w:r>
      <w:proofErr w:type="spellStart"/>
      <w:r>
        <w:t>Blondel</w:t>
      </w:r>
      <w:proofErr w:type="spellEnd"/>
      <w:r>
        <w:t xml:space="preserve">, assumere la visione cristiana del mondo e della vita come ipotesi direttrice, orientatrice dell’intera ricerca e non come un dato presupposto all’indagine. Non si tratta di un’operazione arbitraria, confessionale, dal momento che se Dio esiste è presente in ogni uomo e investe ogni coscienza, per cui è possibile discernere in essa un’inquietudine, un’esigenza che Dio realizza nel dono della rivelazione. Dunque ogni uomo, indipendentemente dall’opzione di fede è segnato da un’apertura all’azione di Dio, da un’esigenza interiore che gli fa sentire la visione di fede cristiana come un «dover essere». L’uomo è attraversato da stimoli in rapporto alla sua vocazione, da un’attitudine a ricevere ciò di cui ha bisogno per non restare al di qua dello scopo reale e concreto per cui è stato fatto. In questo modo </w:t>
      </w:r>
      <w:proofErr w:type="spellStart"/>
      <w:r>
        <w:t>Blondel</w:t>
      </w:r>
      <w:proofErr w:type="spellEnd"/>
      <w:r>
        <w:t xml:space="preserve">, a differenza di </w:t>
      </w:r>
      <w:proofErr w:type="spellStart"/>
      <w:r>
        <w:t>Loisy</w:t>
      </w:r>
      <w:proofErr w:type="spellEnd"/>
      <w:r>
        <w:t>, evita una deriva immanentista della religione. Lo fa però non in nome di una scelta ideologica arbitraria, ma in nome dell’uomo reale e della sua segreta aspirazione. E’ proprio l’uomo ad aver bisogno dell’intera realtà ed è quindi in un’obiettiva prossimità al mistero cristiano. Per questa certezza antropologica l’approccio positivistico è insufficiente: non rispetto alla religione, ma nei confronti dell’uomo reale, che non può fermarsi alle apparenze, alle superfici, ma deve scendere al fondo delle cose.</w:t>
      </w:r>
    </w:p>
    <w:p w:rsidR="002E3110" w:rsidRDefault="002E3110" w:rsidP="002E3110">
      <w:pPr>
        <w:jc w:val="both"/>
      </w:pPr>
      <w:r>
        <w:t>La fede della chiesa non funzione dunque come un giudizio ideologico che distorce la percezione dei dati, ma come quell’orizzonte che permette di percepire i fatti storici nel contesto complessivo della realtà, ovvero sullo sfondo dell’essere vero, che l’uomo non afferra in base alla storia (o in virtù della sola conoscenza storica) ma in virtù del dinamismo del suo desiderio (nella “</w:t>
      </w:r>
      <w:proofErr w:type="spellStart"/>
      <w:r>
        <w:t>volonté</w:t>
      </w:r>
      <w:proofErr w:type="spellEnd"/>
      <w:r>
        <w:t xml:space="preserve"> </w:t>
      </w:r>
      <w:proofErr w:type="spellStart"/>
      <w:r>
        <w:t>voulante</w:t>
      </w:r>
      <w:proofErr w:type="spellEnd"/>
      <w:r>
        <w:t>”). Non ci si può fidare a occhi chiusi della percezione scientifica e moderna delle cose. Se ne potrebbe smarrire la profondità ontologica. Questa avvertenza appare decisiva nell’interpretazione della Scrittura quale fonte della fede.</w:t>
      </w:r>
    </w:p>
    <w:p w:rsidR="002E3110" w:rsidRDefault="002E3110" w:rsidP="002E3110">
      <w:pPr>
        <w:jc w:val="both"/>
      </w:pPr>
    </w:p>
    <w:p w:rsidR="002E3110" w:rsidRDefault="002E3110" w:rsidP="002E3110">
      <w:pPr>
        <w:jc w:val="both"/>
      </w:pPr>
      <w:r w:rsidRPr="00000440">
        <w:rPr>
          <w:i/>
        </w:rPr>
        <w:lastRenderedPageBreak/>
        <w:t>(d)</w:t>
      </w:r>
      <w:r>
        <w:rPr>
          <w:i/>
        </w:rPr>
        <w:t xml:space="preserve"> La fede e la vita: la differenza specifica dell’esperienza religiosa rispetto alla storia.</w:t>
      </w:r>
      <w:r w:rsidRPr="00000440">
        <w:rPr>
          <w:i/>
        </w:rPr>
        <w:t xml:space="preserve"> </w:t>
      </w:r>
      <w:r>
        <w:t xml:space="preserve">Nella stessa linea di </w:t>
      </w:r>
      <w:proofErr w:type="spellStart"/>
      <w:r>
        <w:t>Blondel</w:t>
      </w:r>
      <w:proofErr w:type="spellEnd"/>
      <w:r>
        <w:t xml:space="preserve">, ma con un’accentuazione più teologica, si muove la ricca riflessione di </w:t>
      </w:r>
      <w:r w:rsidRPr="00000440">
        <w:rPr>
          <w:i/>
        </w:rPr>
        <w:t xml:space="preserve">L. </w:t>
      </w:r>
      <w:proofErr w:type="spellStart"/>
      <w:r w:rsidRPr="00000440">
        <w:rPr>
          <w:i/>
        </w:rPr>
        <w:t>Labethonnière</w:t>
      </w:r>
      <w:proofErr w:type="spellEnd"/>
      <w:r>
        <w:t xml:space="preserve">. La sua critica a </w:t>
      </w:r>
      <w:proofErr w:type="spellStart"/>
      <w:r>
        <w:t>Loisy</w:t>
      </w:r>
      <w:proofErr w:type="spellEnd"/>
      <w:r>
        <w:t xml:space="preserve"> parte dal presupposto di un capovolgimento delle priorità: non si passa dalla storia alla fede, ma dalla fede della chiesa alla storia di Dio con noi. Solo chi si immerge e diventa partecipe di questo processo di incarnazione di Dio può comprendere nella loro reale portata i fatti della storia di Gesù e della sua Chiesa</w:t>
      </w:r>
      <w:r>
        <w:rPr>
          <w:rStyle w:val="Rimandonotaapidipagina"/>
        </w:rPr>
        <w:footnoteReference w:id="14"/>
      </w:r>
      <w:r>
        <w:t>. Sullo sfondo sta l’affermazione della specificità dell’esperienza religiosa, che come tale non è indagabile con un metodo storico neutrale. Il problema religioso è anzitutto ed essenzialmente una questione di anima, un problema di vita, per cui esso va risolto vitalmente e religiosamente e non scientificamente e storicamente</w:t>
      </w:r>
      <w:r>
        <w:rPr>
          <w:rStyle w:val="Rimandonotaapidipagina"/>
        </w:rPr>
        <w:footnoteReference w:id="15"/>
      </w:r>
      <w:r>
        <w:rPr>
          <w:sz w:val="22"/>
        </w:rPr>
        <w:t xml:space="preserve">. </w:t>
      </w:r>
      <w:r>
        <w:t>Forse si potrebbe parafrasare questa istanza dicendo che il religioso è un mistero da vivere più che un problema da studiare e risolvere. La questione centrale, dunque, è proprio quella del rapporto tra le scienze storiche e la fede. Ciò che rende difficile la composizione è il fatto che la testimonianza della Chiesa ha la forma di una vita, di un insegnamento accompagnato da parole, legami, istituzioni e quindi sia da vincoli sociali che da esperienza interiori</w:t>
      </w:r>
      <w:r>
        <w:rPr>
          <w:rStyle w:val="Rimandonotaapidipagina"/>
        </w:rPr>
        <w:footnoteReference w:id="16"/>
      </w:r>
      <w:r>
        <w:t>. Nella Chiesa la verità di Cristo è come un’atmosfera che respiriamo, non un sistema di idee astratte e atemporali, ovvero:</w:t>
      </w:r>
    </w:p>
    <w:p w:rsidR="002E3110" w:rsidRDefault="002E3110" w:rsidP="002E3110">
      <w:pPr>
        <w:ind w:left="170" w:right="170"/>
        <w:jc w:val="both"/>
        <w:rPr>
          <w:sz w:val="22"/>
        </w:rPr>
      </w:pPr>
    </w:p>
    <w:p w:rsidR="002E3110" w:rsidRDefault="002E3110" w:rsidP="002E3110">
      <w:pPr>
        <w:ind w:left="170" w:right="170"/>
        <w:jc w:val="both"/>
        <w:rPr>
          <w:sz w:val="22"/>
        </w:rPr>
      </w:pPr>
      <w:r>
        <w:rPr>
          <w:sz w:val="22"/>
        </w:rPr>
        <w:t xml:space="preserve">è il rapporto vivente nel quale siamo con Cristo per l’azione che lui esercita su di noi e in noi, azione interna ed esteriore ad un tempo, che non è altro se non la sua vita che si ripercuote in noi, condizionando il nostro destino, divenuto solidale col suo, e che mediante </w:t>
      </w:r>
      <w:smartTag w:uri="urn:schemas-microsoft-com:office:smarttags" w:element="PersonName">
        <w:smartTagPr>
          <w:attr w:name="ProductID" w:val="la Chiesa"/>
        </w:smartTagPr>
        <w:r>
          <w:rPr>
            <w:sz w:val="22"/>
          </w:rPr>
          <w:t>la Chiesa</w:t>
        </w:r>
      </w:smartTag>
      <w:r>
        <w:rPr>
          <w:sz w:val="22"/>
        </w:rPr>
        <w:t xml:space="preserve"> e in essa è per noi mezzo di salvezza</w:t>
      </w:r>
      <w:r>
        <w:rPr>
          <w:rStyle w:val="Rimandonotaapidipagina"/>
        </w:rPr>
        <w:footnoteReference w:id="17"/>
      </w:r>
      <w:r>
        <w:rPr>
          <w:sz w:val="22"/>
        </w:rPr>
        <w:t>.</w:t>
      </w:r>
    </w:p>
    <w:p w:rsidR="002E3110" w:rsidRPr="00033D55" w:rsidRDefault="002E3110" w:rsidP="002E3110">
      <w:pPr>
        <w:ind w:left="170" w:right="170"/>
        <w:jc w:val="both"/>
        <w:rPr>
          <w:sz w:val="22"/>
        </w:rPr>
      </w:pPr>
    </w:p>
    <w:p w:rsidR="002E3110" w:rsidRDefault="002E3110" w:rsidP="002E3110">
      <w:pPr>
        <w:jc w:val="both"/>
      </w:pPr>
      <w:r>
        <w:t>Prima di sapere che Cristo è storicamente vissuto, noi crediamo alla Chiesa, che è una col Cristo, a quella Chiesa che ci dona e fa circolare tra noi la verità di Cristo. In essa attingiamo alla realtà di Cristo. In tal senso la direzione va dalla fede alla storia e non viceversa</w:t>
      </w:r>
      <w:r>
        <w:rPr>
          <w:rStyle w:val="Rimandonotaapidipagina"/>
        </w:rPr>
        <w:footnoteReference w:id="18"/>
      </w:r>
      <w:r>
        <w:t>. Ciò non esclude che la storia sia fondamentale per la fede</w:t>
      </w:r>
      <w:r>
        <w:rPr>
          <w:rStyle w:val="Rimandonotaapidipagina"/>
        </w:rPr>
        <w:footnoteReference w:id="19"/>
      </w:r>
      <w:r>
        <w:rPr>
          <w:sz w:val="22"/>
        </w:rPr>
        <w:t xml:space="preserve">. </w:t>
      </w:r>
      <w:r>
        <w:t>Del resto, credere significa uscire da sé, andare oltre e affidarsi ad altro da sé:</w:t>
      </w:r>
    </w:p>
    <w:p w:rsidR="002E3110" w:rsidRDefault="002E3110" w:rsidP="002E3110">
      <w:pPr>
        <w:ind w:left="170" w:right="170"/>
        <w:jc w:val="both"/>
        <w:rPr>
          <w:sz w:val="22"/>
        </w:rPr>
      </w:pPr>
    </w:p>
    <w:p w:rsidR="002E3110" w:rsidRDefault="002E3110" w:rsidP="002E3110">
      <w:pPr>
        <w:ind w:left="170" w:right="170"/>
        <w:jc w:val="both"/>
        <w:rPr>
          <w:sz w:val="22"/>
        </w:rPr>
      </w:pPr>
      <w:r>
        <w:rPr>
          <w:sz w:val="22"/>
        </w:rPr>
        <w:t xml:space="preserve">Credere, in effetti, è avere confidenza, è un rimettersi nelle mani di un altro da sé. E quando, per spiritualizzare una religione, ci si immagina una fede che genera se stessa e si crea il suo oggetto, si ha una fede che non può prendere coscienza di ciò che essa è senza distruggersi. </w:t>
      </w:r>
      <w:r w:rsidRPr="0065030F">
        <w:rPr>
          <w:sz w:val="22"/>
        </w:rPr>
        <w:t>È</w:t>
      </w:r>
      <w:r>
        <w:rPr>
          <w:sz w:val="22"/>
        </w:rPr>
        <w:t xml:space="preserve"> questo l’esito a cui giungono tute le sublimazioni del cristianesimo</w:t>
      </w:r>
      <w:r>
        <w:rPr>
          <w:rStyle w:val="Rimandonotaapidipagina"/>
        </w:rPr>
        <w:footnoteReference w:id="20"/>
      </w:r>
      <w:r>
        <w:rPr>
          <w:sz w:val="22"/>
        </w:rPr>
        <w:t>.</w:t>
      </w:r>
    </w:p>
    <w:p w:rsidR="002E3110" w:rsidRPr="00785303" w:rsidRDefault="002E3110" w:rsidP="002E3110">
      <w:pPr>
        <w:ind w:left="170" w:right="170"/>
        <w:jc w:val="both"/>
        <w:rPr>
          <w:sz w:val="22"/>
        </w:rPr>
      </w:pPr>
    </w:p>
    <w:p w:rsidR="002E3110" w:rsidRDefault="002E3110" w:rsidP="002E3110">
      <w:pPr>
        <w:jc w:val="both"/>
      </w:pPr>
      <w:r>
        <w:t xml:space="preserve">Disinteressarsi della storia della Chiesa per non tenere che la sua attuale testimonianza, significa perdere il realismo del suo derivare da Cristo, con cui fa una cosa sola: </w:t>
      </w:r>
      <w:smartTag w:uri="urn:schemas-microsoft-com:office:smarttags" w:element="PersonName">
        <w:smartTagPr>
          <w:attr w:name="ProductID" w:val="la Chiesa"/>
        </w:smartTagPr>
        <w:r>
          <w:t>la Chiesa</w:t>
        </w:r>
      </w:smartTag>
      <w:r>
        <w:t xml:space="preserve"> incarna e continua Cristo sulla terra, comunicandolo a noi e facendolo vivere in noi. Questa intimità va colta nella sua storia concreta. Ma proprio per questa sua natura, la storia cristiana non è questione di gesti esteriori </w:t>
      </w:r>
      <w:r>
        <w:lastRenderedPageBreak/>
        <w:t>e di istituzioni, bensì di una partecipazione profonda, ontologica alla vita dell’uomo-Dio</w:t>
      </w:r>
      <w:r>
        <w:rPr>
          <w:rStyle w:val="Rimandonotaapidipagina"/>
        </w:rPr>
        <w:footnoteReference w:id="21"/>
      </w:r>
      <w:r>
        <w:t>. Questa partecipazione è proposta, offerta alla nostra libertà e non imposta da ricerche storiche. Come tale può essere accolta solo mediante un atto libero che coinvolga il soggetto, chiamato a decidere di sé. Come i concetti astratti della dottrina non hanno alcun valore se non sono accompagnati da intuizioni concrete, così i fatti storici. Solo una scelta libera e personale ci può fare scoprire il loro senso  e il valore che rivestono per noi. Quando si dà un giudizio di valore e non solo di esistenza su un fatto o una verità, dal momento che ci si sta pronunciando sul «fondo delle cose», si deve prendere posizione, passando dalla condizione di spettatori a quella di attori del dramma della vita umana. Ciò vale per il giudizio di fede su Cristo: non è mai un semplice giudizio di esistenza, ma questione di una realtà di valore (di sostanza), in cui si mette in gioco il senso della vita. Se pensano di poter constatare dei fatti, gli storici cadono nell’errore di dimenticare la differenza tra verità di fatto e verità religiose: è in gioco un giudizio sulla realtà, che spiazza l’uomo, facendolo passare dal tempo all’eternità</w:t>
      </w:r>
      <w:r>
        <w:rPr>
          <w:rStyle w:val="Rimandonotaapidipagina"/>
        </w:rPr>
        <w:footnoteReference w:id="22"/>
      </w:r>
      <w:r>
        <w:rPr>
          <w:sz w:val="22"/>
        </w:rPr>
        <w:t xml:space="preserve">. </w:t>
      </w:r>
      <w:r w:rsidRPr="00E044A6">
        <w:t>È</w:t>
      </w:r>
      <w:r>
        <w:t xml:space="preserve"> solo dal punto di vista della verità eterna di Dio che l’uomo può riconoscere nella storia di Gesù il Cristo. La fede coglie ciò che c’è, perché tende all’essere intero, al reale nella sua integralità</w:t>
      </w:r>
      <w:r>
        <w:rPr>
          <w:rStyle w:val="Rimandonotaapidipagina"/>
        </w:rPr>
        <w:footnoteReference w:id="23"/>
      </w:r>
      <w:r>
        <w:t>. Si tratta di qualcosa che ha a che fare col destino ultimo della persona:</w:t>
      </w:r>
    </w:p>
    <w:p w:rsidR="002E3110" w:rsidRDefault="002E3110" w:rsidP="002E3110">
      <w:pPr>
        <w:ind w:left="170" w:right="170"/>
        <w:jc w:val="both"/>
        <w:rPr>
          <w:sz w:val="22"/>
        </w:rPr>
      </w:pPr>
    </w:p>
    <w:p w:rsidR="002E3110" w:rsidRDefault="002E3110" w:rsidP="002E3110">
      <w:pPr>
        <w:ind w:left="170" w:right="170"/>
        <w:jc w:val="both"/>
        <w:rPr>
          <w:sz w:val="22"/>
        </w:rPr>
      </w:pPr>
      <w:r>
        <w:rPr>
          <w:sz w:val="22"/>
        </w:rPr>
        <w:t xml:space="preserve">Aderire alla verità di Cristo è in effetti comprendersi mediante Lui per vivere di Lui. </w:t>
      </w:r>
      <w:r w:rsidRPr="00717235">
        <w:rPr>
          <w:sz w:val="22"/>
        </w:rPr>
        <w:t>È</w:t>
      </w:r>
      <w:r>
        <w:rPr>
          <w:sz w:val="22"/>
        </w:rPr>
        <w:t xml:space="preserve"> incorporarsi a Lui coscientemente e volontariamente, mentre si viene incorporati insieme nella Chiesa mediante la quale Lui viene a noi e noi andiamo verso di Lui. </w:t>
      </w:r>
      <w:r w:rsidRPr="00717235">
        <w:rPr>
          <w:sz w:val="22"/>
        </w:rPr>
        <w:t>È</w:t>
      </w:r>
      <w:r>
        <w:rPr>
          <w:sz w:val="22"/>
        </w:rPr>
        <w:t xml:space="preserve"> collegare il nostro essere al suo e la nostra vita alla sua vita. Ed ecco ciò che fa che la fede sia salvifica</w:t>
      </w:r>
      <w:r>
        <w:rPr>
          <w:rStyle w:val="Rimandonotaapidipagina"/>
        </w:rPr>
        <w:footnoteReference w:id="24"/>
      </w:r>
      <w:r>
        <w:rPr>
          <w:sz w:val="22"/>
        </w:rPr>
        <w:t>.</w:t>
      </w:r>
    </w:p>
    <w:p w:rsidR="002E3110" w:rsidRPr="00717235" w:rsidRDefault="002E3110" w:rsidP="002E3110">
      <w:pPr>
        <w:ind w:left="170" w:right="170"/>
        <w:jc w:val="both"/>
        <w:rPr>
          <w:sz w:val="22"/>
        </w:rPr>
      </w:pPr>
    </w:p>
    <w:p w:rsidR="002E3110" w:rsidRDefault="002E3110" w:rsidP="002E3110">
      <w:pPr>
        <w:jc w:val="both"/>
      </w:pPr>
      <w:r>
        <w:t>La fede è una conoscenza che mette in sintonia con un altro essere, che rende partecipi di un’esistenza, unendo alla vita di un altro soggetto, intimamente e realmente, è solo così veniamo iniziati a un pensiero amante, mediante un altro pensiero e un altro amore.</w:t>
      </w:r>
    </w:p>
    <w:p w:rsidR="002E3110" w:rsidRDefault="002E3110" w:rsidP="006829B4">
      <w:pPr>
        <w:jc w:val="both"/>
      </w:pPr>
    </w:p>
    <w:p w:rsidR="009B13FB" w:rsidRDefault="009B13FB" w:rsidP="009B13FB">
      <w:pPr>
        <w:jc w:val="both"/>
      </w:pPr>
      <w:r w:rsidRPr="00FB3E80">
        <w:rPr>
          <w:i/>
        </w:rPr>
        <w:t>La crisi è dunque generata dall’ingresso della storia nella teologia. Si tratta di una storia studiata con nuovi metodi e quindi compresa in modo nuovo, che pone domande nuove alla rappresentazione del mondo legata alla dottrina cristiana tradizionale</w:t>
      </w:r>
      <w:r>
        <w:t xml:space="preserve">. Eppure il rimando alla storia è un’esigenza della fede, proprio per il principio di incarnazione e per l’importanza dell’intersoggettività nella comprensione cattolica della rivelazione. La fede si fonda su una rivelazione di Dio nella storia e sta in relazione ad una comunità credente. Ma questa storia è sempre più oggetto di un approccio tecnico, laico, agnostico, che nella sua positività sembra escludere o comunque problematizzare la pretesa dei «giudizi di fede» che vorrebbero riconoscere «fatti divini o soprannaturali» (miracoli e altri segni di credibilità), nei quali Dio stesso sarebbe all’opera, quale soggetto storico. O meglio, si potrebbe dire che si va imponendo un approccio «scientifico» alla storia che chiede di precisare il senso di un riconoscimento del divino in avvenimenti storici e le sue condizioni di possibilità. Qui si innesta la crisi modernista. </w:t>
      </w:r>
    </w:p>
    <w:p w:rsidR="009B13FB" w:rsidRDefault="009B13FB" w:rsidP="009B13FB">
      <w:pPr>
        <w:jc w:val="both"/>
      </w:pPr>
      <w:r>
        <w:t xml:space="preserve">L’intervento del magistero (l’enciclica </w:t>
      </w:r>
      <w:proofErr w:type="spellStart"/>
      <w:r w:rsidRPr="009B13FB">
        <w:rPr>
          <w:i/>
        </w:rPr>
        <w:t>Pascendi</w:t>
      </w:r>
      <w:proofErr w:type="spellEnd"/>
      <w:r>
        <w:t xml:space="preserve"> del 1907) denuncia lo scarto che si crea nella trasformazione storica degli enunciati di fede e gli equivoci che nasconde. Ci si può limitare a percepire «nella rilettura dei fenomeni storici» l’operazione trasfigurante (o de-figurante) della fede, per valutarne la conformità o meno con la coscienza e l’esperienza religiosa di Gesù? </w:t>
      </w:r>
      <w:r w:rsidRPr="00E044A6">
        <w:t>È</w:t>
      </w:r>
      <w:r>
        <w:t xml:space="preserve"> cambiata l’idea di rivelazione. Ciò che non è però compreso dalla teologia del magistero è la portata nuova e inevitabile della domanda di senso che la trasformazione culturale ha imposto alla religione: il problema non è immediatamente cosa la fede afferma, ma che significato abbia questa verità rivelata per l’uomo moderno e come lo si possa affermare (a quali condizioni, con quali conseguenze, «come»?). Siamo entrati nell’ambito di ciò che può essere definita la struttura dello «scambio di senso» tra la rivelazione e la libera risposta dell’uomo. Si tratta di capire la legittimità e </w:t>
      </w:r>
      <w:r>
        <w:lastRenderedPageBreak/>
        <w:t>le conseguenze dell’introduzione della problematica soggettiva (ma non soggettivista) dello «scambio di senso», una problematica che impone di rivedere la nozione di verità che presiede all’organizzazione del sistema dottrinale scolastico: cosa è la verità in quanto non si riduce alle verità (dottrinali) che le danno contenuto? Cosa è la verità se essa esige di ricevere un senso per e da parte del soggetto a cui è destinata?</w:t>
      </w:r>
    </w:p>
    <w:p w:rsidR="009B13FB" w:rsidRDefault="009B13FB" w:rsidP="009B13FB">
      <w:pPr>
        <w:jc w:val="both"/>
      </w:pPr>
      <w:r>
        <w:t>A questa domanda sul senso della verità rivelata, sull’essenza del cristianesimo e il suo significato per l’uomo non si può rispondere con una logica «</w:t>
      </w:r>
      <w:proofErr w:type="spellStart"/>
      <w:r>
        <w:t>estrinsecista</w:t>
      </w:r>
      <w:proofErr w:type="spellEnd"/>
      <w:r>
        <w:t xml:space="preserve">», basata sul principio di autorità (è Dio che lo dice) e strutturata su una mediazione concettualista e </w:t>
      </w:r>
      <w:proofErr w:type="spellStart"/>
      <w:r>
        <w:t>dottrinalista</w:t>
      </w:r>
      <w:proofErr w:type="spellEnd"/>
      <w:r>
        <w:t xml:space="preserve"> della fede (è una verità da conoscere e accettare con l’ossequio dell’intelletto). Certo la preoccupazione della teologia era quella di tutelare l’oggettività della verità rivelata sia nel suo fondamento storico che nella sua </w:t>
      </w:r>
      <w:proofErr w:type="spellStart"/>
      <w:r>
        <w:t>concettualità</w:t>
      </w:r>
      <w:proofErr w:type="spellEnd"/>
      <w:r>
        <w:t xml:space="preserve">, nonché nel suo principio trascendente e soprannaturale. Ma la rivelazione è vera anche perché dona all’uomo qualcosa che corrisponde al suo dinamismo più profondo, realizza ciò che è nell’uomo e che fa la sua umanità. Nella fede l’uomo giunge autenticamente a se stesso, altrimenti la verità rivelata non lo potrebbe interessare e risulterebbe inutile. L’istanza irrinunciabile del «metodo di immanenza» (da distinguere, pur nella tensione interpretativa, dal «principio di immanenza» stigmatizzato dalla </w:t>
      </w:r>
      <w:proofErr w:type="spellStart"/>
      <w:r w:rsidRPr="003613CA">
        <w:rPr>
          <w:i/>
        </w:rPr>
        <w:t>Pascendi</w:t>
      </w:r>
      <w:proofErr w:type="spellEnd"/>
      <w:r>
        <w:t>), pone la questione della mediazione antropologica della verità rivelata, che non è semplicemente dall’uomo, ma è inevitabilmente nell’uomo e per l’uomo.</w:t>
      </w:r>
    </w:p>
    <w:p w:rsidR="009B13FB" w:rsidRDefault="009B13FB" w:rsidP="009B13FB">
      <w:pPr>
        <w:jc w:val="both"/>
      </w:pPr>
    </w:p>
    <w:p w:rsidR="006829B4" w:rsidRPr="009C2C8C" w:rsidRDefault="002E3110" w:rsidP="006829B4">
      <w:pPr>
        <w:jc w:val="center"/>
        <w:rPr>
          <w:i/>
        </w:rPr>
      </w:pPr>
      <w:r>
        <w:t>3</w:t>
      </w:r>
      <w:r w:rsidR="006829B4">
        <w:t xml:space="preserve">. </w:t>
      </w:r>
      <w:r w:rsidR="006829B4" w:rsidRPr="009C2C8C">
        <w:rPr>
          <w:i/>
        </w:rPr>
        <w:t xml:space="preserve">Il contesto culturale relativista: </w:t>
      </w:r>
    </w:p>
    <w:p w:rsidR="006829B4" w:rsidRPr="009C2C8C" w:rsidRDefault="006829B4" w:rsidP="006829B4">
      <w:pPr>
        <w:jc w:val="center"/>
        <w:rPr>
          <w:i/>
        </w:rPr>
      </w:pPr>
      <w:r w:rsidRPr="009C2C8C">
        <w:rPr>
          <w:i/>
        </w:rPr>
        <w:t>tra sincretismo pluralista e fondamentalismo esclusivista</w:t>
      </w:r>
    </w:p>
    <w:p w:rsidR="006829B4" w:rsidRDefault="006829B4" w:rsidP="006829B4">
      <w:pPr>
        <w:jc w:val="both"/>
      </w:pPr>
    </w:p>
    <w:p w:rsidR="006829B4" w:rsidRPr="008A4305" w:rsidRDefault="006829B4" w:rsidP="006829B4">
      <w:pPr>
        <w:jc w:val="both"/>
        <w:rPr>
          <w:i/>
        </w:rPr>
      </w:pPr>
      <w:r w:rsidRPr="008A4305">
        <w:rPr>
          <w:i/>
        </w:rPr>
        <w:t>(a) Il fondamentalismo</w:t>
      </w:r>
    </w:p>
    <w:p w:rsidR="006829B4" w:rsidRDefault="006829B4" w:rsidP="006829B4">
      <w:pPr>
        <w:jc w:val="both"/>
      </w:pPr>
    </w:p>
    <w:p w:rsidR="006829B4" w:rsidRDefault="006829B4" w:rsidP="006829B4">
      <w:pPr>
        <w:jc w:val="both"/>
      </w:pPr>
      <w:r>
        <w:t xml:space="preserve">1. </w:t>
      </w:r>
      <w:r w:rsidRPr="00794EC9">
        <w:rPr>
          <w:i/>
        </w:rPr>
        <w:t>La relazione al fondamento implica sempre fanatismo?</w:t>
      </w:r>
      <w:r>
        <w:t xml:space="preserve"> La domanda non è oziosa. Corrisponde a un sospetto diffuso dal «pensiero debole», diffidente nei confronti della pretesa totalitaria inscritta in ogni ricerca di un fondamento ultimo. La trascrizione religiosa di tale pretesa e l’esito fondamentalista della religione appare inevitabile se si tiene conto della pretesa totalitaria e del coinvolgimento radicale inscritti in ogni autentica esperienza di fede. Se ne dovrebbe concludere che la religione non è adatta al contesto pluralista-relativista, a meno che non sia disposta a rinunciare alla radicalità del credere. Di fronte a simili sospetti è bene precisare la distinzione tra ricerca del fondamento e derive fondamentaliste.</w:t>
      </w:r>
    </w:p>
    <w:p w:rsidR="006829B4" w:rsidRDefault="006829B4" w:rsidP="006829B4">
      <w:pPr>
        <w:jc w:val="both"/>
      </w:pPr>
    </w:p>
    <w:p w:rsidR="006829B4" w:rsidRDefault="006829B4" w:rsidP="006829B4">
      <w:pPr>
        <w:jc w:val="both"/>
      </w:pPr>
      <w:r>
        <w:t xml:space="preserve">2. Nel definire il fondamentalismo è importante chiarire se si tratta di un movimento trasversale alle religioni, e quindi inscritto nel loro patrimonio genetico, ovvero di una serie diversificata di fenomeni storici parziali e ben delimitati, connessi magari a un certo tipo di esperienza religiosa (rivelata piuttosto che mistica, basata sulla fede più che sull’esperienza spirituale, centrata sull’autorità più che sulle convinzioni personali). In questo secondo caso si dovrebbe parlare di </w:t>
      </w:r>
      <w:r w:rsidRPr="004D29B2">
        <w:rPr>
          <w:i/>
        </w:rPr>
        <w:t>fondamentalismi storici</w:t>
      </w:r>
      <w:r>
        <w:t>, legati a certi contesti epocali. In altri termini: si tratta di un dato religioso universale o di un fenomeno storico particolare? Da un lato, infatti, il fondamentalismo nasce in ambito Riformato americano alla fine dell’800 e si presenta come una crisi di rapporto tra fede e cultura moderna. Solo di recente si ripresenta in altre religioni, in forme diverse e contestualizzate in situazioni di conflitto o crisi. Ma dall’altro lato si nota una serie di tratti comuni a forme fondamentaliste di interpretazione della religione nella società (moderna). Si tratta quindi di un fenomeno generale o almeno generalizzabile</w:t>
      </w:r>
      <w:r w:rsidRPr="005B01A7">
        <w:rPr>
          <w:rStyle w:val="Rimandonotaapidipagina"/>
          <w:sz w:val="20"/>
          <w:szCs w:val="20"/>
        </w:rPr>
        <w:footnoteReference w:id="25"/>
      </w:r>
      <w:r>
        <w:t xml:space="preserve">. In questo contesto va assunta la questione terminologica, che distingue giustamente tra tradizionalismo, integrismo, fondamentalismo e radicalismo. L’integrismo e il tradizionalismo esprimono la comune certezza che i valori contenuti nel patrimonio della tradizione religiosa debbano essere rimessi in onore nella strutturazione della </w:t>
      </w:r>
      <w:r>
        <w:lastRenderedPageBreak/>
        <w:t>società: o perché la tradizione viene vista come deposito di valori universali non negoziabili (tradizionalismo) o perché si ritiene di poter ricavare dalla tradizione un progetto coerente e unitario di società a immagine di un modello ideale di società perfetta a cui si tende (integrismo). Il radicalismo invece consiste nella radicalizzazione delle esigenze della tradizione religiosa, presa alla lettera nelle sue indicazioni e tradotta in esigenza di lotta o militanza anche violenta nell’opposizione ai valori (decadenti) della società laica o secolarizzata. Perché si dia fondamentalismo è richiesto invece un certo tipo di rimando al testo sacro e un certo tipo di interpretazione del suo valore politico e culturale.</w:t>
      </w:r>
    </w:p>
    <w:p w:rsidR="006829B4" w:rsidRDefault="006829B4" w:rsidP="006829B4">
      <w:pPr>
        <w:jc w:val="both"/>
      </w:pPr>
    </w:p>
    <w:p w:rsidR="006829B4" w:rsidRDefault="006829B4" w:rsidP="006829B4">
      <w:pPr>
        <w:jc w:val="both"/>
      </w:pPr>
      <w:r>
        <w:t xml:space="preserve">3. </w:t>
      </w:r>
      <w:r w:rsidRPr="00AD18BE">
        <w:rPr>
          <w:i/>
        </w:rPr>
        <w:t>Verso una definizione</w:t>
      </w:r>
      <w:r>
        <w:t xml:space="preserve">. Nel fondamentalismo ritornano sempre quattro elementi (1) Il rimando a un testo sacro inteso in senso letterale: principio dell’inerranza del testo sacro anche nelle sue applicazioni sociali e politiche immediate; (2) il principio di </w:t>
      </w:r>
      <w:proofErr w:type="spellStart"/>
      <w:r w:rsidRPr="00AD18BE">
        <w:rPr>
          <w:i/>
        </w:rPr>
        <w:t>astoricità</w:t>
      </w:r>
      <w:proofErr w:type="spellEnd"/>
      <w:r w:rsidRPr="00AD18BE">
        <w:rPr>
          <w:i/>
        </w:rPr>
        <w:t xml:space="preserve"> della verità divina</w:t>
      </w:r>
      <w:r>
        <w:t xml:space="preserve"> in esso contenuta; (3) l’applicazione immediata delle pagine sacre alla struttura sociale e politica (a fronte della scoperta dei legami sociali deboli delle attuali democrazie); (4) il rimando a un modello ideale originario di società-comunità a cui ispirarsi (società perfetta). Va aggiunta la sindrome del nemico da combattere e la percezione di un conflitto apocalittico tra bene e male</w:t>
      </w:r>
      <w:r w:rsidRPr="005B01A7">
        <w:rPr>
          <w:rStyle w:val="Rimandonotaapidipagina"/>
          <w:sz w:val="20"/>
          <w:szCs w:val="20"/>
        </w:rPr>
        <w:footnoteReference w:id="26"/>
      </w:r>
      <w:r>
        <w:t xml:space="preserve">. L’elemento ricorrente del fondamentalismo si troverebbe quindi in una </w:t>
      </w:r>
      <w:r w:rsidRPr="00F24730">
        <w:rPr>
          <w:i/>
        </w:rPr>
        <w:t>reazione delle religioni alla cultura moderna</w:t>
      </w:r>
      <w:r>
        <w:t xml:space="preserve"> che da un lato ha relegato la religione in un sottosistema parziale dell’organismo sociale, marginalizzandone il valore nell’organizzare la vita, e dall’altro mostra l’incapacità di fondare la società su legami forti e valori alti. Alla crisi politica della società risponde il fondamentalismo religioso con l’offerta di valori forti e capaci di fondare la vita e i legami tra gli uomini. La diffusione del fenomeno si estenderebbe tanto quanto è estesa la crisi delle società secolarizzate o “laiche” e della loro cultura.</w:t>
      </w:r>
    </w:p>
    <w:p w:rsidR="006829B4" w:rsidRDefault="006829B4" w:rsidP="006829B4">
      <w:pPr>
        <w:jc w:val="both"/>
      </w:pPr>
    </w:p>
    <w:p w:rsidR="006829B4" w:rsidRDefault="006829B4" w:rsidP="006829B4">
      <w:pPr>
        <w:jc w:val="both"/>
      </w:pPr>
      <w:smartTag w:uri="urn:schemas-microsoft-com:office:smarttags" w:element="metricconverter">
        <w:smartTagPr>
          <w:attr w:name="ProductID" w:val="4. A"/>
        </w:smartTagPr>
        <w:r>
          <w:t>4. A</w:t>
        </w:r>
      </w:smartTag>
      <w:r>
        <w:t xml:space="preserve"> questo punto possiamo raccogliere </w:t>
      </w:r>
      <w:r w:rsidRPr="00B865B3">
        <w:rPr>
          <w:i/>
        </w:rPr>
        <w:t>il contributo della psicologia</w:t>
      </w:r>
      <w:r>
        <w:t>. Essa mette in luce come il fondamentalismo non sia una deriva della razionalità, ma uno stato della coscienza che fatica ad elaborare un’identità chiara, in contesto pluralista e a rischio di confusione. I meccanismi che lo generano rimandano a dinamiche di “autoreferenzialità acritica”: il rimando “feticistico” al testo sacro (inteso appunto come totalità senza fratture e senza un contesto, in relazione al quale interpretarlo) e l’appello assolutistico all’esperienza («se non provi, non capisci, e per provare veramente devi affidarti al gruppo-</w:t>
      </w:r>
      <w:proofErr w:type="spellStart"/>
      <w:r>
        <w:t>sètta</w:t>
      </w:r>
      <w:proofErr w:type="spellEnd"/>
      <w:r>
        <w:t xml:space="preserve"> o all’esperienza carismatica del fondatore). Si nota quindi nel fondamentalismo il passaggio dal funzionamento transazionale della religione (strumento per dare senso al reale e abitarlo, adattandovisi in modo positivo) a quello feticistico (la religione diventa il mondo, il vero reale da costruire  imporre all’esperienza). In tal senso il fondamentalismo segnala un problema di strutturazione delle identità personale e collettiva</w:t>
      </w:r>
      <w:r w:rsidRPr="005B01A7">
        <w:rPr>
          <w:rStyle w:val="Rimandonotaapidipagina"/>
          <w:sz w:val="20"/>
          <w:szCs w:val="20"/>
        </w:rPr>
        <w:footnoteReference w:id="27"/>
      </w:r>
      <w:r>
        <w:t>.</w:t>
      </w:r>
    </w:p>
    <w:p w:rsidR="006829B4" w:rsidRDefault="006829B4" w:rsidP="006829B4">
      <w:pPr>
        <w:jc w:val="both"/>
      </w:pPr>
    </w:p>
    <w:p w:rsidR="006829B4" w:rsidRDefault="006829B4" w:rsidP="006829B4">
      <w:pPr>
        <w:jc w:val="both"/>
      </w:pPr>
      <w:r w:rsidRPr="00B865B3">
        <w:rPr>
          <w:i/>
        </w:rPr>
        <w:t>Conclusione:</w:t>
      </w:r>
      <w:r>
        <w:t xml:space="preserve"> il fondamentalismo non è una patologia del fenomeno religioso, una sua più o meno inevitabile deriva nella modernità, una reazione malata al pluralismo. Si tratta piuttosto di un problema di rapporto tra religione-cultura nell’ambito della modernità. E’ proprio nell’ambito della problematica del rapporto religione-cultura che va assunto l’altro possibile esito della religione nell’attuale contesto, ossia </w:t>
      </w:r>
      <w:r w:rsidRPr="00AD64C6">
        <w:rPr>
          <w:i/>
        </w:rPr>
        <w:t>il relativismo</w:t>
      </w:r>
      <w:r>
        <w:t>.</w:t>
      </w:r>
    </w:p>
    <w:p w:rsidR="006829B4" w:rsidRDefault="006829B4" w:rsidP="006829B4">
      <w:pPr>
        <w:jc w:val="both"/>
      </w:pPr>
    </w:p>
    <w:p w:rsidR="006829B4" w:rsidRPr="008A4305" w:rsidRDefault="006829B4" w:rsidP="006829B4">
      <w:pPr>
        <w:jc w:val="both"/>
        <w:rPr>
          <w:i/>
        </w:rPr>
      </w:pPr>
      <w:r w:rsidRPr="008A4305">
        <w:rPr>
          <w:i/>
        </w:rPr>
        <w:t>(b) Il relativismo: unica forma della religione in un contesto pluralista?</w:t>
      </w:r>
    </w:p>
    <w:p w:rsidR="006829B4" w:rsidRDefault="006829B4" w:rsidP="006829B4">
      <w:pPr>
        <w:jc w:val="both"/>
      </w:pPr>
    </w:p>
    <w:p w:rsidR="006829B4" w:rsidRDefault="006829B4" w:rsidP="006829B4">
      <w:pPr>
        <w:jc w:val="both"/>
      </w:pPr>
      <w:r>
        <w:t xml:space="preserve">Il relativismo è anzitutto un dato culturale che connota il cristianesimo nel mondo Occidentale e soprattutto in Europa. A denunciarne la presenza e le ambiguità è il cardinale </w:t>
      </w:r>
      <w:r w:rsidRPr="00B865B3">
        <w:rPr>
          <w:i/>
        </w:rPr>
        <w:t>J. Ratzinger</w:t>
      </w:r>
      <w:r>
        <w:t>, in una conferenza tenuta alla Sorbona, in occasione del Grande Giubileo:</w:t>
      </w:r>
    </w:p>
    <w:p w:rsidR="006829B4" w:rsidRDefault="006829B4" w:rsidP="006829B4">
      <w:pPr>
        <w:ind w:left="170" w:right="113"/>
        <w:jc w:val="both"/>
        <w:rPr>
          <w:sz w:val="22"/>
        </w:rPr>
      </w:pPr>
    </w:p>
    <w:p w:rsidR="006829B4" w:rsidRDefault="006829B4" w:rsidP="006829B4">
      <w:pPr>
        <w:ind w:left="170" w:right="113"/>
        <w:jc w:val="both"/>
        <w:rPr>
          <w:sz w:val="22"/>
        </w:rPr>
      </w:pPr>
      <w:r>
        <w:rPr>
          <w:sz w:val="22"/>
        </w:rPr>
        <w:t>«Al termine del secondo millennio cristiano, il cristianesimo si trova, proprio nel luogo della sua originaria diffusione, in Europa, in una crisi profonda, basata sulla crisi della sua pretesa alla verità. Questa crisi ha una doppia dimensione: innanzitutto ci si domanda con sempre maggior insistenza se sia giusto, in fondo, applicare il concetto di verità alla religione; in altri termini, se sia dato all’uomo conoscere la verità propriamente detta su Dio e le cose divine. […] Questo scetticismo del tutto generale nei confronti della pretesa alla verità in materia religiosa è ulteriormente consolidato dai dubbi che la scienza moderna ha sollevato riguardo alle origini e ai contenuti del cristianesimo»</w:t>
      </w:r>
      <w:r w:rsidRPr="005B01A7">
        <w:rPr>
          <w:rStyle w:val="Rimandonotaapidipagina"/>
          <w:sz w:val="20"/>
          <w:szCs w:val="20"/>
        </w:rPr>
        <w:footnoteReference w:id="28"/>
      </w:r>
      <w:r>
        <w:rPr>
          <w:sz w:val="22"/>
        </w:rPr>
        <w:t>.</w:t>
      </w:r>
    </w:p>
    <w:p w:rsidR="006829B4" w:rsidRPr="00AE0565" w:rsidRDefault="006829B4" w:rsidP="006829B4">
      <w:pPr>
        <w:ind w:left="170" w:right="113"/>
        <w:jc w:val="both"/>
        <w:rPr>
          <w:sz w:val="22"/>
        </w:rPr>
      </w:pPr>
    </w:p>
    <w:p w:rsidR="006829B4" w:rsidRDefault="006829B4" w:rsidP="006829B4">
      <w:pPr>
        <w:jc w:val="both"/>
      </w:pPr>
      <w:r>
        <w:t xml:space="preserve">Ma una simile problematica non mette in gioco tanto il funzionamento della religione, quanto la concezione di cultura, nella quale la verità religiosa è accolta e mediata. Occorre verificare proprio la comprensione della cultura. </w:t>
      </w:r>
    </w:p>
    <w:p w:rsidR="006829B4" w:rsidRDefault="006829B4" w:rsidP="006829B4">
      <w:pPr>
        <w:pStyle w:val="Corpotesto"/>
        <w:rPr>
          <w:sz w:val="24"/>
        </w:rPr>
      </w:pPr>
      <w:r>
        <w:rPr>
          <w:sz w:val="24"/>
        </w:rPr>
        <w:t>Di fatto, oggi, il nesso verità-cultura offre uno degli argomenti più forti al dogma del relativismo pluralista. La determinazione culturale di ogni forma di razionalità e di ogni religione ne implica la parzialità e la necessaria contestualizzazione in un frammento di senso che rimanda a una totalità più complessa. Nessun frammento può pretendere di essere il tutto o di valere per tutti. Di fatto – si dice – lo sforzo missionario cristiano ha significato l’imposizione di una certa forma culturale ad altre culture, anche mediante la violenza. Ciò ha posto il problema della capacità della fede di comunicarsi ad una cultura (inculturazione). L’aspetto problematico di questo tipo di considerazioni sta nel presupposto che le culture vivano le une accanto alle altre in regime di giustapposizione anziché di scambio. E’ una visione astorica e statica:</w:t>
      </w:r>
    </w:p>
    <w:p w:rsidR="006829B4" w:rsidRDefault="006829B4" w:rsidP="006829B4">
      <w:pPr>
        <w:pStyle w:val="Citazione"/>
        <w:rPr>
          <w:sz w:val="22"/>
        </w:rPr>
      </w:pPr>
      <w:r>
        <w:rPr>
          <w:sz w:val="22"/>
        </w:rPr>
        <w:t>Le varie culture non vivono solo la loro propria esperienza di Dio, del mondo e dell’uomo, ma lungo il loro cammino si incontrano inevitabilmente con altri soggetti culturali e si devono confrontare con le altrui differenti esperienze. Così, a seconda dell’apertura o della chiusura, a seconda della larghezza o della ristrettezza di un soggetto culturale, si giunge all’approfondimento e alla purificazione delle proprie conoscenze e valutazioni. Ciò può portare a una trasformazione profonda della forma di cultura vigente. Un’eventuale trasformazione positiva dipende dalla potenziale universalità di tutte le culture, che si concretizza nell’accoglienza di ciò che è altrui e nel cambiamento di ciò che è proprio. Un processo del genere può portare addirittura a far sì che vengano a galla quei taciti allontanamenti dell’uomo dalla verità e da se stesso che si celano in una cultura… Perciò non dovremmo parlare più propriamente di inculturazione ma di incontro delle culture o di interculturalità… Solo se si tengono ferme la potenziale universalità di tutte le culture e la loro reciproca apertura, l’interculturalità può portare a nuove forme feconde</w:t>
      </w:r>
      <w:r w:rsidRPr="005B01A7">
        <w:rPr>
          <w:rStyle w:val="Rimandonotaapidipagina"/>
          <w:sz w:val="20"/>
        </w:rPr>
        <w:footnoteReference w:id="29"/>
      </w:r>
      <w:r>
        <w:rPr>
          <w:sz w:val="22"/>
        </w:rPr>
        <w:t>.</w:t>
      </w:r>
    </w:p>
    <w:p w:rsidR="006829B4" w:rsidRDefault="006829B4" w:rsidP="006829B4">
      <w:pPr>
        <w:pStyle w:val="Corpotesto"/>
        <w:rPr>
          <w:sz w:val="24"/>
        </w:rPr>
      </w:pPr>
      <w:r>
        <w:rPr>
          <w:sz w:val="24"/>
        </w:rPr>
        <w:t xml:space="preserve">In fondo, l’incontro delle culture è possibile perché l’uomo, nonostante tutte le differenze della sua storia e delle sue creazioni comunitarie, è un identico e unico essere. Quest’essere unico che è l’uomo, nella profondità della sua esistenza, viene intercettato dalla verità stessa. Da qui deriva la fondamentale apertura di tutti verso l’altro e si spiegano le essenziali convergenze che esistono anche tra le culture più remote. La diversità che può portare alla chiusura, deriva invece dalla finitezza dello spirito umano: nessuno abbraccia la totalità; per cogliere la totalità c’è bisogno di tutti. </w:t>
      </w:r>
    </w:p>
    <w:p w:rsidR="006829B4" w:rsidRDefault="006829B4" w:rsidP="006829B4">
      <w:pPr>
        <w:pStyle w:val="Citazione"/>
        <w:rPr>
          <w:sz w:val="22"/>
        </w:rPr>
      </w:pPr>
      <w:r>
        <w:rPr>
          <w:sz w:val="22"/>
        </w:rPr>
        <w:t xml:space="preserve">A un concetto statico di cultura, che ne presuppone forme fisse, che in ultima istanza rimangono costanti e sono solo giustapposte tra loro, né possono trapassare le une nelle altre, il Papa contrappone nella </w:t>
      </w:r>
      <w:r>
        <w:rPr>
          <w:i/>
          <w:iCs/>
          <w:sz w:val="22"/>
        </w:rPr>
        <w:t>Fides et Ratio</w:t>
      </w:r>
      <w:r>
        <w:rPr>
          <w:sz w:val="22"/>
        </w:rPr>
        <w:t xml:space="preserve"> un modo dinamico e comunicativo di intendere la cultura. Egli sottolinea che le culture quando sono «profondamente radicate nell’umano, […] portano in sé la testimonianza della tipica apertura dell’uomo all’universale e alla trascendenza» (n. 70). Perciò le culture, quale espressione dell’unica essenza dell’uomo, sono caratterizzate dalla dinamica dell’uomo, che trascende tutti i limiti. Le culture pertanto non sono fissate una volta per sempre a una struttura, ma hanno la capacità di progredire e di </w:t>
      </w:r>
      <w:r>
        <w:rPr>
          <w:sz w:val="22"/>
        </w:rPr>
        <w:lastRenderedPageBreak/>
        <w:t>trasformarsi, col pericolo tuttavia anche di decadere. Esse sono impostate per l’incontro e la fecondazione reciproca</w:t>
      </w:r>
      <w:r w:rsidRPr="005B01A7">
        <w:rPr>
          <w:rStyle w:val="Rimandonotaapidipagina"/>
          <w:sz w:val="20"/>
        </w:rPr>
        <w:footnoteReference w:id="30"/>
      </w:r>
      <w:r>
        <w:rPr>
          <w:sz w:val="22"/>
        </w:rPr>
        <w:t>.</w:t>
      </w:r>
    </w:p>
    <w:p w:rsidR="006829B4" w:rsidRDefault="006829B4" w:rsidP="006829B4">
      <w:pPr>
        <w:pStyle w:val="Corpotesto"/>
        <w:rPr>
          <w:sz w:val="24"/>
        </w:rPr>
      </w:pPr>
      <w:r>
        <w:rPr>
          <w:sz w:val="24"/>
        </w:rPr>
        <w:t xml:space="preserve">Alla luce di queste considerazioni si può cogliere il rapporto tra fede e cultura. Il mezzo che porta l’una incontro all’altra non può che essere la comune verità dell’uomo, nella quale è sempre in gioco la verità su Dio e sulla realtà nel suo complesso. Quanto più una cultura è conforme alla natura umana, quanto più è elevata, tanto più aspirerà alla verità che fino a un certo punto le era rimasta preclusa, sarà capace di assimilare tale verità e d’immedesimarsi con essa. Detto questo, occorre subito aggiungere che il </w:t>
      </w:r>
      <w:proofErr w:type="spellStart"/>
      <w:r>
        <w:rPr>
          <w:sz w:val="24"/>
        </w:rPr>
        <w:t>cristinesimo</w:t>
      </w:r>
      <w:proofErr w:type="spellEnd"/>
      <w:r>
        <w:rPr>
          <w:sz w:val="24"/>
        </w:rPr>
        <w:t xml:space="preserve"> è una cultura e </w:t>
      </w:r>
      <w:smartTag w:uri="urn:schemas-microsoft-com:office:smarttags" w:element="PersonName">
        <w:smartTagPr>
          <w:attr w:name="ProductID" w:val="la Chiesa"/>
        </w:smartTagPr>
        <w:r>
          <w:rPr>
            <w:sz w:val="24"/>
          </w:rPr>
          <w:t>la Chiesa</w:t>
        </w:r>
      </w:smartTag>
      <w:r>
        <w:rPr>
          <w:sz w:val="24"/>
        </w:rPr>
        <w:t xml:space="preserve"> un soggetto culturale, con una propria interculturalità sviluppatasi storicamente e stratificatasi (anche se non si tratta di una cultura particolare, essendo </w:t>
      </w:r>
      <w:smartTag w:uri="urn:schemas-microsoft-com:office:smarttags" w:element="PersonName">
        <w:smartTagPr>
          <w:attr w:name="ProductID" w:val="la Chiesa"/>
        </w:smartTagPr>
        <w:r>
          <w:rPr>
            <w:sz w:val="24"/>
          </w:rPr>
          <w:t>la Chiesa</w:t>
        </w:r>
      </w:smartTag>
      <w:r>
        <w:rPr>
          <w:sz w:val="24"/>
        </w:rPr>
        <w:t xml:space="preserve"> un popolo radunato da tanti popoli). Non esiste una fede pura, senza mediazione culturale. Perciò il cristiano può avere una duplice cultura: quella d’origine e quella della fede. Credere significa entrare in un popolo, </w:t>
      </w:r>
      <w:smartTag w:uri="urn:schemas-microsoft-com:office:smarttags" w:element="PersonName">
        <w:smartTagPr>
          <w:attr w:name="ProductID" w:val="la Chiesa"/>
        </w:smartTagPr>
        <w:r>
          <w:rPr>
            <w:sz w:val="24"/>
          </w:rPr>
          <w:t>la Chiesa</w:t>
        </w:r>
      </w:smartTag>
      <w:r>
        <w:rPr>
          <w:sz w:val="24"/>
        </w:rPr>
        <w:t>, con una sua cultura e una sua storia. Dio ha legato se stesso a una storia, che ora è anche la sua e da cui non possiamo staccarci. Noi non possiamo ripetere a nostro piacimento il processo dell’incarnazione nel senso di togliere continuamente a Cristo la sua carne e di offrirgliene in cambio un’altra. Ma come stanno insieme le affermazioni che il cristianesimo è una cultura ma non una cultura particolare? E’ possibile comporre le affermazioni se si tiene presente il superamento delle culture nella Bibbia e nella storia della fede:</w:t>
      </w:r>
    </w:p>
    <w:p w:rsidR="006829B4" w:rsidRDefault="006829B4" w:rsidP="006829B4">
      <w:pPr>
        <w:ind w:left="170" w:right="113"/>
        <w:jc w:val="both"/>
        <w:rPr>
          <w:sz w:val="22"/>
        </w:rPr>
      </w:pPr>
    </w:p>
    <w:p w:rsidR="006829B4" w:rsidRDefault="006829B4" w:rsidP="006829B4">
      <w:pPr>
        <w:ind w:left="170" w:right="113"/>
        <w:jc w:val="both"/>
        <w:rPr>
          <w:sz w:val="22"/>
        </w:rPr>
      </w:pPr>
      <w:r w:rsidRPr="00281783">
        <w:rPr>
          <w:sz w:val="22"/>
        </w:rPr>
        <w:t>Tutti i popoli sono invitati ad entrare in questo processo di superamento della particolarità, che ha avuto inizio innanzitutto in Israele, a rivolgersi a quel Dio, cha da parte sua si è oltrepassato in Gesù Cristo e ha infranto il muro dell’inimicizia che era tra noi (</w:t>
      </w:r>
      <w:proofErr w:type="spellStart"/>
      <w:r w:rsidRPr="00281783">
        <w:rPr>
          <w:sz w:val="22"/>
        </w:rPr>
        <w:t>Ef</w:t>
      </w:r>
      <w:proofErr w:type="spellEnd"/>
      <w:r w:rsidRPr="00281783">
        <w:rPr>
          <w:sz w:val="22"/>
        </w:rPr>
        <w:t xml:space="preserve"> 2,14) e ci conduce l’uno verso l’altro nell’espropriazione di sé compiuta sulla croce. La fede in Gesù Cristo è pertanto di sua natura un continuo aprirsi, irruzione </w:t>
      </w:r>
      <w:r w:rsidRPr="00281783">
        <w:rPr>
          <w:i/>
          <w:iCs/>
          <w:sz w:val="22"/>
        </w:rPr>
        <w:t>(</w:t>
      </w:r>
      <w:proofErr w:type="spellStart"/>
      <w:r w:rsidRPr="00281783">
        <w:rPr>
          <w:i/>
          <w:iCs/>
          <w:sz w:val="22"/>
        </w:rPr>
        <w:t>Einbruch</w:t>
      </w:r>
      <w:proofErr w:type="spellEnd"/>
      <w:r w:rsidRPr="00281783">
        <w:rPr>
          <w:i/>
          <w:iCs/>
          <w:sz w:val="22"/>
        </w:rPr>
        <w:t>)</w:t>
      </w:r>
      <w:r w:rsidRPr="00281783">
        <w:rPr>
          <w:sz w:val="22"/>
        </w:rPr>
        <w:t xml:space="preserve"> di Dio nel mondo umano e aprirsi </w:t>
      </w:r>
      <w:r w:rsidRPr="00281783">
        <w:rPr>
          <w:i/>
          <w:iCs/>
          <w:sz w:val="22"/>
        </w:rPr>
        <w:t>(</w:t>
      </w:r>
      <w:proofErr w:type="spellStart"/>
      <w:r w:rsidRPr="00281783">
        <w:rPr>
          <w:i/>
          <w:iCs/>
          <w:sz w:val="22"/>
        </w:rPr>
        <w:t>Aufbruch</w:t>
      </w:r>
      <w:proofErr w:type="spellEnd"/>
      <w:r w:rsidRPr="00281783">
        <w:rPr>
          <w:i/>
          <w:iCs/>
          <w:sz w:val="22"/>
        </w:rPr>
        <w:t>)</w:t>
      </w:r>
      <w:r w:rsidRPr="00281783">
        <w:rPr>
          <w:sz w:val="22"/>
        </w:rPr>
        <w:t xml:space="preserve"> dell’uomo in risposta a Dio, che nello stesso tempo conduce gli uomini gli uni verso gli altri. Tutto quanto ci appartiene ora appartiene a tutti e tutto ciò che è degli altri ora diviene anche nostro. Questo modello fondamentale determina anche l’incontro del messaggio cristiano con la cultura greca… Questo incontro fu possibile perché nel frattempo nel mondo greco si era fatto strada un simile processo di </w:t>
      </w:r>
      <w:proofErr w:type="spellStart"/>
      <w:r w:rsidRPr="00281783">
        <w:rPr>
          <w:sz w:val="22"/>
        </w:rPr>
        <w:t>autosuperamento</w:t>
      </w:r>
      <w:proofErr w:type="spellEnd"/>
      <w:r w:rsidRPr="00281783">
        <w:rPr>
          <w:sz w:val="22"/>
        </w:rPr>
        <w:t xml:space="preserve">. I Padri non hanno semplicemente fuso nel Vangelo una cultura greca autonoma e a sé stante. Essi poterono riprendere il dialogo con la filosofia greca e renderla strumento del Vangelo, dal momento che nel mondo greco in virtù della ricerca di Dio si era messa in moto un’autocritica della </w:t>
      </w:r>
      <w:proofErr w:type="spellStart"/>
      <w:r w:rsidRPr="00281783">
        <w:rPr>
          <w:sz w:val="22"/>
        </w:rPr>
        <w:t>popria</w:t>
      </w:r>
      <w:proofErr w:type="spellEnd"/>
      <w:r w:rsidRPr="00281783">
        <w:rPr>
          <w:sz w:val="22"/>
        </w:rPr>
        <w:t xml:space="preserve"> cultura e del proprio pensiero. La fede ha avvicinato i popoli… non alla cultura greca in quanto tale, ma al suo </w:t>
      </w:r>
      <w:proofErr w:type="spellStart"/>
      <w:r w:rsidRPr="00281783">
        <w:rPr>
          <w:sz w:val="22"/>
        </w:rPr>
        <w:t>autocuperamento</w:t>
      </w:r>
      <w:proofErr w:type="spellEnd"/>
      <w:r w:rsidRPr="00281783">
        <w:rPr>
          <w:sz w:val="22"/>
        </w:rPr>
        <w:t xml:space="preserve">, che fu il vero punto di aggancio per l’interpretazione del messaggio cristiano. A partire da questa </w:t>
      </w:r>
      <w:proofErr w:type="spellStart"/>
      <w:r w:rsidRPr="00281783">
        <w:rPr>
          <w:sz w:val="22"/>
        </w:rPr>
        <w:t>autoapertura</w:t>
      </w:r>
      <w:proofErr w:type="spellEnd"/>
      <w:r w:rsidRPr="00281783">
        <w:rPr>
          <w:sz w:val="22"/>
        </w:rPr>
        <w:t xml:space="preserve">, </w:t>
      </w:r>
      <w:bookmarkStart w:id="0" w:name="_GoBack"/>
      <w:bookmarkEnd w:id="0"/>
      <w:r w:rsidRPr="00281783">
        <w:rPr>
          <w:sz w:val="22"/>
        </w:rPr>
        <w:t xml:space="preserve">la fede ha attirato la cultura greca sempre più in una dinamica di </w:t>
      </w:r>
      <w:proofErr w:type="spellStart"/>
      <w:r w:rsidRPr="00281783">
        <w:rPr>
          <w:sz w:val="22"/>
        </w:rPr>
        <w:t>autosuperamento</w:t>
      </w:r>
      <w:proofErr w:type="spellEnd"/>
      <w:r w:rsidRPr="005B01A7">
        <w:rPr>
          <w:rStyle w:val="Rimandonotaapidipagina"/>
          <w:sz w:val="20"/>
          <w:szCs w:val="20"/>
        </w:rPr>
        <w:footnoteReference w:id="31"/>
      </w:r>
      <w:r w:rsidRPr="00281783">
        <w:rPr>
          <w:sz w:val="22"/>
        </w:rPr>
        <w:t>.</w:t>
      </w:r>
    </w:p>
    <w:p w:rsidR="006829B4" w:rsidRPr="00281783" w:rsidRDefault="006829B4" w:rsidP="006829B4">
      <w:pPr>
        <w:ind w:left="170" w:right="113"/>
        <w:jc w:val="both"/>
        <w:rPr>
          <w:sz w:val="22"/>
        </w:rPr>
      </w:pPr>
    </w:p>
    <w:p w:rsidR="006829B4" w:rsidRPr="00281783" w:rsidRDefault="006829B4" w:rsidP="006829B4">
      <w:pPr>
        <w:ind w:left="170" w:right="113"/>
        <w:jc w:val="both"/>
        <w:rPr>
          <w:sz w:val="22"/>
        </w:rPr>
      </w:pPr>
      <w:r w:rsidRPr="00281783">
        <w:rPr>
          <w:sz w:val="22"/>
        </w:rPr>
        <w:t>L’esodo, la frattura culturale, col suo morire per rinascere, è un tratto fondamentale del cristianesimo. La sua storia ha inizio con Abram, con l’imperativo che viene da Dio «Vattene dal tuo paese, dalla tua patria e dalla casa di tuo padre» (</w:t>
      </w:r>
      <w:proofErr w:type="spellStart"/>
      <w:r w:rsidRPr="00281783">
        <w:rPr>
          <w:sz w:val="22"/>
        </w:rPr>
        <w:t>Gen</w:t>
      </w:r>
      <w:proofErr w:type="spellEnd"/>
      <w:r w:rsidRPr="00281783">
        <w:rPr>
          <w:sz w:val="22"/>
        </w:rPr>
        <w:t xml:space="preserve"> 12,1). L’esodo di Israele, il vero e proprio evento </w:t>
      </w:r>
      <w:proofErr w:type="spellStart"/>
      <w:r w:rsidRPr="00281783">
        <w:rPr>
          <w:sz w:val="22"/>
        </w:rPr>
        <w:t>fondativo</w:t>
      </w:r>
      <w:proofErr w:type="spellEnd"/>
      <w:r w:rsidRPr="00281783">
        <w:rPr>
          <w:sz w:val="22"/>
        </w:rPr>
        <w:t xml:space="preserve"> del popolo di Israele, è anticipato nell’esodo di Abram, che come tale è stato anche una frattura culturale. Nella linea della fede di Abram, anche della fede cristiana possiamo dire che nessuno se la trova davanti come cosa già sua. Non viene mai da quel che è nostro proprio. Irrompe dal di fuori. Nessuno nasce cristiano, nemmeno in un mondo cristiano e da genitori cristiani. Il cristianesimo può avvenire sempre e solo come nuova nascita… Nell’idea di rivelazione il non-proprio, ciò che non appartiene alla sfera mia propria, mi si avvicina e mi porta via da me, al di là di me, crea qualcosa di nuovo. Questo è ciò che determina la storicità della realtà cristiana, che poggia su eventi e non sulla percezione della profondità del proprio intimo. </w:t>
      </w:r>
      <w:smartTag w:uri="urn:schemas-microsoft-com:office:smarttags" w:element="PersonName">
        <w:smartTagPr>
          <w:attr w:name="ProductID" w:val="la Trinit￠"/>
        </w:smartTagPr>
        <w:r w:rsidRPr="00281783">
          <w:rPr>
            <w:sz w:val="22"/>
          </w:rPr>
          <w:t>La Trinità</w:t>
        </w:r>
      </w:smartTag>
      <w:r w:rsidRPr="00281783">
        <w:rPr>
          <w:sz w:val="22"/>
        </w:rPr>
        <w:t xml:space="preserve"> non è oggetto della nostra esperie</w:t>
      </w:r>
      <w:r>
        <w:rPr>
          <w:sz w:val="22"/>
        </w:rPr>
        <w:t>nza, ma qualcosa che mi deve ess</w:t>
      </w:r>
      <w:r w:rsidRPr="00281783">
        <w:rPr>
          <w:sz w:val="22"/>
        </w:rPr>
        <w:t>er detto dall’esterno, mi si avvicina dal di fuori come rivelaz</w:t>
      </w:r>
      <w:r>
        <w:rPr>
          <w:sz w:val="22"/>
        </w:rPr>
        <w:t>ione… Questo arrivare dal di fu</w:t>
      </w:r>
      <w:r w:rsidRPr="00281783">
        <w:rPr>
          <w:sz w:val="22"/>
        </w:rPr>
        <w:t>o</w:t>
      </w:r>
      <w:r>
        <w:rPr>
          <w:sz w:val="22"/>
        </w:rPr>
        <w:t>r</w:t>
      </w:r>
      <w:r w:rsidRPr="00281783">
        <w:rPr>
          <w:sz w:val="22"/>
        </w:rPr>
        <w:t xml:space="preserve">i è scandaloso per l’uomo, che tende all’autarchia e all’autonomia, è una pretesa eccessiva per qualunque cultura… Ma proprio questo nuovo intervento, che fa breccia nel nostro spazio esperienziale, nella nostra coscienza… ci porta entro </w:t>
      </w:r>
      <w:r w:rsidRPr="00281783">
        <w:rPr>
          <w:sz w:val="22"/>
        </w:rPr>
        <w:lastRenderedPageBreak/>
        <w:t>uno spazio più grande, e proprio così ci apre la possibilità di superare il pluralismo e di accostarci gli uni agli altri</w:t>
      </w:r>
      <w:r w:rsidRPr="005B01A7">
        <w:rPr>
          <w:rStyle w:val="Rimandonotaapidipagina"/>
          <w:sz w:val="20"/>
          <w:szCs w:val="20"/>
        </w:rPr>
        <w:footnoteReference w:id="32"/>
      </w:r>
      <w:r w:rsidRPr="00281783">
        <w:rPr>
          <w:sz w:val="22"/>
        </w:rPr>
        <w:t>.</w:t>
      </w:r>
    </w:p>
    <w:p w:rsidR="006829B4" w:rsidRDefault="006829B4" w:rsidP="006829B4">
      <w:pPr>
        <w:jc w:val="both"/>
      </w:pPr>
    </w:p>
    <w:p w:rsidR="006829B4" w:rsidRDefault="006829B4" w:rsidP="006829B4">
      <w:pPr>
        <w:jc w:val="both"/>
      </w:pPr>
      <w:r>
        <w:t>Le culture dunque incontrano la rivelazione proprio nella loro dinamica “</w:t>
      </w:r>
      <w:proofErr w:type="spellStart"/>
      <w:r>
        <w:t>esodica</w:t>
      </w:r>
      <w:proofErr w:type="spellEnd"/>
      <w:r>
        <w:t>”, ossia nella loro tensione a uscire dal particolare verso la verità universale.</w:t>
      </w:r>
    </w:p>
    <w:p w:rsidR="006829B4" w:rsidRDefault="006829B4" w:rsidP="006829B4">
      <w:pPr>
        <w:jc w:val="center"/>
      </w:pPr>
    </w:p>
    <w:p w:rsidR="006829B4" w:rsidRPr="00E158DA" w:rsidRDefault="009B13FB" w:rsidP="006829B4">
      <w:pPr>
        <w:jc w:val="center"/>
        <w:rPr>
          <w:i/>
        </w:rPr>
      </w:pPr>
      <w:r>
        <w:t>4</w:t>
      </w:r>
      <w:r w:rsidR="006829B4">
        <w:t xml:space="preserve">. </w:t>
      </w:r>
      <w:r w:rsidR="006829B4" w:rsidRPr="00E158DA">
        <w:rPr>
          <w:i/>
        </w:rPr>
        <w:t>L’istanza dell’esperienza al di là dell’alternativa tra fondamentalismo e relativismo</w:t>
      </w:r>
    </w:p>
    <w:p w:rsidR="006829B4" w:rsidRDefault="006829B4" w:rsidP="006829B4">
      <w:pPr>
        <w:jc w:val="both"/>
      </w:pPr>
    </w:p>
    <w:p w:rsidR="006829B4" w:rsidRDefault="009B13FB" w:rsidP="006829B4">
      <w:pPr>
        <w:jc w:val="both"/>
      </w:pPr>
      <w:r>
        <w:t>4.</w:t>
      </w:r>
      <w:r w:rsidR="006829B4">
        <w:t xml:space="preserve">1. </w:t>
      </w:r>
      <w:r w:rsidR="006829B4" w:rsidRPr="00440605">
        <w:rPr>
          <w:i/>
        </w:rPr>
        <w:t>Tre dimensioni della «pressione ambientale pluralista»</w:t>
      </w:r>
      <w:r w:rsidR="006829B4">
        <w:t>. Raccogliamo le tre dimensioni dell’istanza pluralista, che fa pressione sul giudizio della Chiesa riguardo alle altre religioni, per rileggerle alla luce della sfida a «fare esperienza».</w:t>
      </w:r>
    </w:p>
    <w:p w:rsidR="006829B4" w:rsidRDefault="006829B4" w:rsidP="006829B4">
      <w:pPr>
        <w:jc w:val="both"/>
      </w:pPr>
    </w:p>
    <w:p w:rsidR="006829B4" w:rsidRDefault="006829B4" w:rsidP="006829B4">
      <w:pPr>
        <w:jc w:val="both"/>
      </w:pPr>
      <w:r w:rsidRPr="00E04868">
        <w:rPr>
          <w:i/>
        </w:rPr>
        <w:t>(a) La scoperta della storicità dei rapporti tra religioni.</w:t>
      </w:r>
      <w:r>
        <w:t xml:space="preserve"> Tale scoperta ha a che fare con la messa in evidenza della dimensione storica del «cristianesimo». Non si tratta di una grandezza assoluta al di fuori della storia e quindi di un possibile giudizio trascendente su altre esperienze storiche, bensì di una grandezza immersa nel flusso della storia. L’applicazione al cristianesimo degli strumenti dell’indagine critica (i metodi storico-critici ed esegetici; l’analisi psicologica e sociologica) aveva già messo in luce un nuovo possibile approccio al fatto cristiano: si poteva seguire tale sentiero? A quali esiti avrebbe portato? La questione si presentò da subito come problema «del fondamento»: è possibile cogliere il fondamento del cristianesimo e quindi della fede nell’ambito di una sua riduzione a fenomeno storico-sociale tra altri? Il recupero della sua immersione nei fenomeni storici non ne smarrisce l’assolutezza di evento di rivelazione? La fede non attinge il suo fondamento al di là della storia o alla fine della storia o come compimento (ideale) della storia e quindi come realizzazione dell’essenza nella storia o al di là di essa?</w:t>
      </w:r>
    </w:p>
    <w:p w:rsidR="006829B4" w:rsidRDefault="006829B4" w:rsidP="006829B4">
      <w:pPr>
        <w:jc w:val="both"/>
      </w:pPr>
      <w:r>
        <w:t xml:space="preserve">Come comporre relatività storica dei fenomeni umani con la pretesa di assolutezza della verità. Che rapporto esiste tra fatti storici e giudizio veritativo? Questo giudizio non è a sua volta storico e contingente? Oppure è assoluto? Ma per essere tale deve funzionare a priori in base a un principio di rivelazione trascendente o può essere immerso nella storia come scoperta del processuale costituirsi della verità? </w:t>
      </w:r>
    </w:p>
    <w:p w:rsidR="006829B4" w:rsidRPr="006E7327" w:rsidRDefault="006829B4" w:rsidP="006829B4">
      <w:pPr>
        <w:ind w:left="170" w:right="113"/>
        <w:jc w:val="both"/>
        <w:rPr>
          <w:sz w:val="22"/>
        </w:rPr>
      </w:pPr>
    </w:p>
    <w:p w:rsidR="006829B4" w:rsidRPr="006E7327" w:rsidRDefault="006829B4" w:rsidP="006829B4">
      <w:pPr>
        <w:ind w:left="170" w:right="113"/>
        <w:jc w:val="both"/>
        <w:rPr>
          <w:sz w:val="22"/>
        </w:rPr>
      </w:pPr>
      <w:r>
        <w:rPr>
          <w:sz w:val="22"/>
        </w:rPr>
        <w:t>Occorre precisare però il problema: d</w:t>
      </w:r>
      <w:r w:rsidRPr="006E7327">
        <w:rPr>
          <w:sz w:val="22"/>
        </w:rPr>
        <w:t xml:space="preserve">evo contestare l’assolutezza del cristianesimo in nome della scoperta della storicità del suo darsi come fenomeno umano ovvero devo fare una critica dell’assolutezza della sua forma storica </w:t>
      </w:r>
      <w:r>
        <w:rPr>
          <w:sz w:val="22"/>
        </w:rPr>
        <w:t xml:space="preserve">in nome dell’incondizionato </w:t>
      </w:r>
      <w:r w:rsidRPr="006E7327">
        <w:rPr>
          <w:sz w:val="22"/>
        </w:rPr>
        <w:t>che in esso si realizza, pur trascendendolo? L’istanza d</w:t>
      </w:r>
      <w:r>
        <w:rPr>
          <w:sz w:val="22"/>
        </w:rPr>
        <w:t>i certa</w:t>
      </w:r>
      <w:r w:rsidRPr="006E7327">
        <w:rPr>
          <w:sz w:val="22"/>
        </w:rPr>
        <w:t xml:space="preserve"> teologia</w:t>
      </w:r>
      <w:r>
        <w:rPr>
          <w:sz w:val="22"/>
        </w:rPr>
        <w:t xml:space="preserve"> (soprattutto protestante)</w:t>
      </w:r>
      <w:r w:rsidRPr="006E7327">
        <w:rPr>
          <w:sz w:val="22"/>
        </w:rPr>
        <w:t xml:space="preserve"> si inscrive in questa seconda possibilità: devo contestare il cristianesimo come religione per ascoltare nel «no» di Dio all’uomo il «sì» della sua grazia. Tale giudizio che mette in contatto con l’</w:t>
      </w:r>
      <w:proofErr w:type="spellStart"/>
      <w:r w:rsidRPr="006E7327">
        <w:rPr>
          <w:sz w:val="22"/>
        </w:rPr>
        <w:t>incondizionatezza</w:t>
      </w:r>
      <w:proofErr w:type="spellEnd"/>
      <w:r w:rsidRPr="006E7327">
        <w:rPr>
          <w:sz w:val="22"/>
        </w:rPr>
        <w:t xml:space="preserve"> di Dio non può che avere una forma paradossale. Ma </w:t>
      </w:r>
      <w:r>
        <w:rPr>
          <w:sz w:val="22"/>
        </w:rPr>
        <w:t>qui ritorna</w:t>
      </w:r>
      <w:r w:rsidRPr="006E7327">
        <w:rPr>
          <w:sz w:val="22"/>
        </w:rPr>
        <w:t xml:space="preserve"> il problema: questo giudizio paradossale che permette di cogliere nella forma storica la realtà incondizionata è a sua volta storico o è un</w:t>
      </w:r>
      <w:r>
        <w:rPr>
          <w:sz w:val="22"/>
        </w:rPr>
        <w:t>a</w:t>
      </w:r>
      <w:r w:rsidRPr="006E7327">
        <w:rPr>
          <w:sz w:val="22"/>
        </w:rPr>
        <w:t xml:space="preserve"> realtà al di là della storia</w:t>
      </w:r>
      <w:r>
        <w:rPr>
          <w:sz w:val="22"/>
        </w:rPr>
        <w:t xml:space="preserve"> (assoluta)</w:t>
      </w:r>
      <w:r w:rsidRPr="006E7327">
        <w:rPr>
          <w:sz w:val="22"/>
        </w:rPr>
        <w:t xml:space="preserve">? L’intuizione della teologia dialettica è precisamente che tale realtà non è a sua volta cosificabile in una forma storica contingente e quindi non è oggettivabile. </w:t>
      </w:r>
      <w:r w:rsidRPr="00A56F13">
        <w:rPr>
          <w:sz w:val="22"/>
        </w:rPr>
        <w:t>È</w:t>
      </w:r>
      <w:r>
        <w:rPr>
          <w:sz w:val="22"/>
        </w:rPr>
        <w:t xml:space="preserve"> il miracolo della fede. Ma come questa fede si realizza in una determinata cultura? Oppure tale fede assolutezza una certa forma culturale in cui si realizza, portandola al di là dei condizionamenti storici?</w:t>
      </w:r>
    </w:p>
    <w:p w:rsidR="006829B4" w:rsidRPr="006E7327" w:rsidRDefault="006829B4" w:rsidP="006829B4">
      <w:pPr>
        <w:ind w:left="170" w:right="113"/>
        <w:jc w:val="both"/>
        <w:rPr>
          <w:sz w:val="22"/>
        </w:rPr>
      </w:pPr>
    </w:p>
    <w:p w:rsidR="006829B4" w:rsidRDefault="006829B4" w:rsidP="006829B4">
      <w:pPr>
        <w:jc w:val="both"/>
      </w:pPr>
      <w:r>
        <w:t xml:space="preserve">La domanda che sorge a tale livello è proprio se e in che misura si debba stare nell’alternativa: la percezione dell’incondizionato non ha la forma di una «terza grandezza» (come la luce platonica o l’idea del Bene) tra i fatti storici e il giudizio veritativo, una grandezza da pensare a sua volta in modo trascendentale (e quindi non come una terza cosa o realtà), cioè come la condizione di possibilità della corrispondenza delle prime due e quindi come il fondamento che in esse si dà e che le porta? L’incondizionato si dà come la condizione di possibilità della corrispondenza tra verità e storia nella risposta (sempre storica) dell’uomo. Ma è proprio «in questa risposta» che si coglie una </w:t>
      </w:r>
      <w:r>
        <w:lastRenderedPageBreak/>
        <w:t>verità più grande che la fonda, permettendo nella corrispondenza di costruire l’oggettività del giudizio pur nella contingenza del suo accadere.</w:t>
      </w:r>
    </w:p>
    <w:p w:rsidR="006829B4" w:rsidRDefault="006829B4" w:rsidP="006829B4">
      <w:pPr>
        <w:jc w:val="both"/>
      </w:pPr>
    </w:p>
    <w:p w:rsidR="006829B4" w:rsidRDefault="006829B4" w:rsidP="006829B4">
      <w:pPr>
        <w:jc w:val="both"/>
      </w:pPr>
      <w:r w:rsidRPr="00E04868">
        <w:rPr>
          <w:i/>
        </w:rPr>
        <w:t xml:space="preserve">(b) Il </w:t>
      </w:r>
      <w:r>
        <w:rPr>
          <w:i/>
        </w:rPr>
        <w:t xml:space="preserve">rischio del </w:t>
      </w:r>
      <w:r w:rsidRPr="00E04868">
        <w:rPr>
          <w:i/>
        </w:rPr>
        <w:t>fondamentalismo</w:t>
      </w:r>
      <w:r>
        <w:t>. Si è visto come la risposta distorta alla scoperta della storicità si dia nel fondamentalismo, ossia in un meccanismo di organizzazione religiosa che di fronte alla relativizzazione moderna riafferma l’assolutezza del fondamento contro ogni riduzione a fenomeno storico delle verità di fede, immunizzando così una forma storica della religione da qualunque critica e collocandola in un al di là ideale, che giudica tutto senza essere giudicata da nessuno. Si intuisce il sospetto di violenza da parte della cultura moderna: un frammento della storia pretende di essere il tutto e l’assoluto. La forma storica pretende l’incondizionato. Si comprende anche che il fondamentalismo non costituisce una deriva propria della religione, ma un possibile esito (sbagliato) del rapporto tra religione e cultura moderna. Si tratta dell’esito problematico di uno scontro che ha posto le seguenti domande: come la religione entra nel dibattito pubblico? Fino a che punto può accettare la relativizzazione delle sue certezze religiose e dei suoi valori e ideali? Con quale tipo di argomentazione entra nel dibattito pubblico?</w:t>
      </w:r>
    </w:p>
    <w:p w:rsidR="006829B4" w:rsidRDefault="006829B4" w:rsidP="006829B4">
      <w:pPr>
        <w:jc w:val="both"/>
      </w:pPr>
      <w:r>
        <w:t xml:space="preserve">Visto in questa prospettiva il fondamentalismo si presenta come una deriva della risposta dell’uomo all’appello della verità o alla rivelazione di Dio: in determinate situazioni storiche il soggetto religioso risponde assolutizzando la sua risposta come dato inderogabile e indiscutibile, in cui si identificano l’oggettività costruita dalla risposta dell’uomo alla verità e la verità stessa che interpella e reclama la risposta del soggetto. Si perde la distinzione tra la verità e il nostro sapere riguardo ad essa. La forma storica della verità rivelata, cioè la risposta dell’uomo all’esigenza di verità, è relativa alla verità stessa e non assoluta. Occorre mantenere la trascendenza della verità nella risposta data alla sua esigenza. Non si devono confondere i due livelli, anche se da un lato resta il problema di quale metodo usare per mantenere la distinzione e riattivarla e dall’altro va mantenuto chiaro che la percezione della trascendenza della verità che interpella si dà sempre e solo all’interno di una risposta e non nella fuga da essa. Ciò implicherebbe il non fare più esperienza. </w:t>
      </w:r>
    </w:p>
    <w:p w:rsidR="006829B4" w:rsidRDefault="006829B4" w:rsidP="006829B4">
      <w:pPr>
        <w:jc w:val="both"/>
      </w:pPr>
      <w:r>
        <w:t xml:space="preserve">Anche qui il fondamento della conoscenza non è </w:t>
      </w:r>
      <w:proofErr w:type="spellStart"/>
      <w:r>
        <w:t>coglibile</w:t>
      </w:r>
      <w:proofErr w:type="spellEnd"/>
      <w:r>
        <w:t xml:space="preserve"> al modo di una cosa, di una terza realtà disponibile tra il soggetto conoscente e l’oggetto conosciuto e rappresentato. Si dà invece come esigenza di una verità sempre più grande, percepita proprio nello sforzo di rispondere all’appello che viene dalla realtà, mediante la costruzione dell’oggetto conosciuto in un giudizio coerente e oggettivo. L’irrigidimento della risposta in una forma assoluta in sé e per sé valida, che non sente nella stessa risposta l’appello di una «</w:t>
      </w:r>
      <w:proofErr w:type="spellStart"/>
      <w:r>
        <w:t>veritas</w:t>
      </w:r>
      <w:proofErr w:type="spellEnd"/>
      <w:r>
        <w:t xml:space="preserve"> sempre </w:t>
      </w:r>
      <w:proofErr w:type="spellStart"/>
      <w:r>
        <w:t>maior</w:t>
      </w:r>
      <w:proofErr w:type="spellEnd"/>
      <w:r>
        <w:t>» è precisamente la malattia del fondamentalismo. Tale condizione patologica emerge proprio nella sua incapacità di fare esperienza: funziona al modo di un’ideologia che non permette al soggetto lasciarsi rimettere in crisi dall’esperienza storica e contingente, ma lo immunizza, permettendogli di ritrovare nelle cose che vive sempre la stessa cosa, le medesime certezze, gli stessi schemi.</w:t>
      </w:r>
    </w:p>
    <w:p w:rsidR="006829B4" w:rsidRDefault="006829B4" w:rsidP="006829B4">
      <w:pPr>
        <w:jc w:val="both"/>
      </w:pPr>
    </w:p>
    <w:p w:rsidR="006829B4" w:rsidRDefault="006829B4" w:rsidP="006829B4">
      <w:pPr>
        <w:jc w:val="both"/>
      </w:pPr>
      <w:r w:rsidRPr="00E00EF1">
        <w:rPr>
          <w:i/>
        </w:rPr>
        <w:t>(c) L’equivoco del relativismo</w:t>
      </w:r>
      <w:r>
        <w:rPr>
          <w:i/>
        </w:rPr>
        <w:t>: l’istanza del soggetto e la domanda sulle condizioni dell’esperienza</w:t>
      </w:r>
      <w:r>
        <w:t xml:space="preserve">. A questo punto si può cogliere in tutta la sua portata l’equivocità del relativismo pluralista, che passa troppo in fretta dalla contingenza delle risposte date alla verità nella storia e quindi dai modi dell’esperienza, all’impossibilità di costruire un comune contesto di esperienza. Esiste un contesto di esperienza capace di durare, rinnovandosi, e quindi offrendo un sistema di riferimento per valutare e dare un senso a ciò che è nuovo, proprio mediante l’inserimento del nuovo nell’unità di un mondo di esperienza e nella continuità di un «io» che fa esperienza proprio a partire da un’identità (unità e continuità) coerente? Solo se esiste un simile contesto è possibile valutare in modo coerente i dati della storia giungendo a «fare esperienza» sensata della realtà. L’esito del pluralismo relativista post-moderno è invece una dispersione ingovernabile di esperienze e giochi linguistici in cui vengono a espressione i diversi modi di esperire, senza possibilità di stabilire corrispondenze o interferenze. </w:t>
      </w:r>
    </w:p>
    <w:p w:rsidR="006829B4" w:rsidRDefault="006829B4" w:rsidP="006829B4">
      <w:pPr>
        <w:ind w:left="170" w:right="113"/>
        <w:jc w:val="both"/>
        <w:rPr>
          <w:sz w:val="22"/>
        </w:rPr>
      </w:pPr>
    </w:p>
    <w:p w:rsidR="006829B4" w:rsidRDefault="006829B4" w:rsidP="006829B4">
      <w:pPr>
        <w:ind w:left="170" w:right="113"/>
        <w:jc w:val="both"/>
        <w:rPr>
          <w:sz w:val="22"/>
        </w:rPr>
      </w:pPr>
      <w:r w:rsidRPr="003E79A8">
        <w:rPr>
          <w:sz w:val="22"/>
        </w:rPr>
        <w:t xml:space="preserve">Quanto all’interferenza, che è problema precipuo delle nostre società complesse, basti un esempio. Il modo in cui un soggetto percepisce la sua malattia è differente dal modo in cui il suo medico gliela </w:t>
      </w:r>
      <w:r w:rsidRPr="003E79A8">
        <w:rPr>
          <w:sz w:val="22"/>
        </w:rPr>
        <w:lastRenderedPageBreak/>
        <w:t>descrive. Eppure il malato da un lato avverte che il modo di pensare la malattia del dottore è più coerente ed efficace del suo, mentre d’altro lato percepisce una certa irriducibilità del suo modo di sperimentare la malattia «come sua». Non si tratta semplicemente di due interpretazioni diverse, ma di due modi di fare esperienza. La differenza si approfondisce se i soggetti appartengono a culture o religioni diverse. Non si può dire quale dei due sia «più giusto», dal momento che si tratta di due logiche differenti. Se si estende l’esempio ai mali sociali o ai conflitti tra popoli, si può intuire l’interferenza di logiche e modi di sperimentare le cose che appaiono talvolta irriducibili. Ciò crea un certo scontro tra prospettive differenti, che offrono soluzioni diverse e sembrano portare all’impossibilità di trovare un consenso</w:t>
      </w:r>
      <w:r>
        <w:rPr>
          <w:sz w:val="22"/>
        </w:rPr>
        <w:t>. Ognuno ha un</w:t>
      </w:r>
      <w:r w:rsidRPr="003E79A8">
        <w:rPr>
          <w:sz w:val="22"/>
        </w:rPr>
        <w:t xml:space="preserve"> suo sistema di valori di riferimento e quindi una sua percezione delle cose. Eppure, quando un soggetto riesce a costruire un vero contesto di esperienza, si mantiene aperto a un’esigenza di verità «sempre più grande», che lo rende disponibile al confronto con altre prospettive. E’ proprio nel rimando a questa verità «sempre più grande» che ci reclama, che l’uomo trova l’apertura ad altre prospettive, al di là delle differenze irriducibili. Del resto lo stesso fenomeno dell’interferenza mostra che non esiste una vera incomunicabilità. Il soggetto può attraversare vari modi di fare esperienza, cogliendone le diverse logiche. L’unità dell’esperienza, pur nell’irriducibilità dei modi e delle prospettive, si presenta come un compito e un’esigenza a cui corrispondere. Tale compito sarà percepito in maniera tanto più forte, quanto maggiore è la speranza di poter giungere a un’esperienza della realtà totale. Chi coltiva il suo proprio orticello con desideri di basso profilo, si rassegnerà invece alla sopportazione di frammenti incomunicabili.</w:t>
      </w:r>
    </w:p>
    <w:p w:rsidR="006829B4" w:rsidRPr="003E79A8" w:rsidRDefault="006829B4" w:rsidP="006829B4">
      <w:pPr>
        <w:ind w:left="170" w:right="113"/>
        <w:jc w:val="both"/>
        <w:rPr>
          <w:sz w:val="22"/>
        </w:rPr>
      </w:pPr>
    </w:p>
    <w:p w:rsidR="006829B4" w:rsidRDefault="006829B4" w:rsidP="006829B4">
      <w:pPr>
        <w:jc w:val="both"/>
      </w:pPr>
      <w:r>
        <w:t>Una simile relatività dei contesti di esperienza sembra negare l’esistenza di una verità comune che valga per tutti, pur tra tanti modi dell’esperienza. Si giungerebbe così a una sorta di «</w:t>
      </w:r>
      <w:proofErr w:type="spellStart"/>
      <w:r>
        <w:t>eteromorfia</w:t>
      </w:r>
      <w:proofErr w:type="spellEnd"/>
      <w:r>
        <w:t xml:space="preserve">» ingovernabile dei fini e dei sistemi di riferimento, in cui i diversi modi di percepire (la bellezza di un’esquimese non corrisponde a un mio gusto o al canone estetico che ne ricavo) fanno saltare l’unità di un’esperienza possibile. La dispersione dei gusti è teorizzata come dispersione ingovernabile dell’esperienza. Ma ci si deve chiedere se veramente la storicità delle idee regolative (gusti, percezione del bello e del bene) porti con sé l’ingovernabilità contingente delle esperienze. Di fatto esistono fenomeni di interferenza tra i vari modi di esperienza, unificabili proprio a livello del «fare esperienza» corrispondendo a un’esigenza di verità che mi reclama proprio nella risposta (di senso) che sto dando, mentre costruisco l’oggetto di esperienza. </w:t>
      </w:r>
    </w:p>
    <w:p w:rsidR="006829B4" w:rsidRDefault="006829B4" w:rsidP="006829B4">
      <w:pPr>
        <w:jc w:val="both"/>
      </w:pPr>
      <w:r>
        <w:t>In questa fatica dell’esperienza il soggetto si scopre con-costituito in relazione al suo fare esperienza all’interno di un contesto di senso determinato (unità del mondo e continuità dell’io). Ci sono quindi esperienze diverse che costituiscono diversamente il soggetto. Ma anche questo non significa immediatamente che ci siano tanti soggetti quanti sono i modi dell’esperienza, bensì piuttosto che l’esperienza è un dialogo con la realtà, in cui il soggetto stesso si costituisce con la sua identità proprio nello sforzo di corrispondere all’esigenza di verità nella risposta che sta dando ai dati percepiti, costruendo l’oggetto nel suo giudizio che struttura l’esperienza.</w:t>
      </w:r>
    </w:p>
    <w:p w:rsidR="006829B4" w:rsidRDefault="006829B4" w:rsidP="006829B4">
      <w:pPr>
        <w:jc w:val="both"/>
      </w:pPr>
    </w:p>
    <w:p w:rsidR="006829B4" w:rsidRDefault="006829B4" w:rsidP="006829B4">
      <w:pPr>
        <w:jc w:val="both"/>
      </w:pPr>
      <w:r>
        <w:t xml:space="preserve">Queste tre dimensioni dell’istanza post-moderna del pluralismo rimandano tutte diversamente all’importanza per </w:t>
      </w:r>
      <w:smartTag w:uri="urn:schemas-microsoft-com:office:smarttags" w:element="PersonName">
        <w:smartTagPr>
          <w:attr w:name="ProductID" w:val="la Chiesa"/>
        </w:smartTagPr>
        <w:r>
          <w:t>la Chiesa</w:t>
        </w:r>
      </w:smartTag>
      <w:r>
        <w:t xml:space="preserve"> di incontrare le religioni al livello dell’esperienza più che delle rappresentazioni storiche relativizzabili o dei contesti e sistemi più o meno fondamentalisti o ancora a livello di forme storiche più o meno irriducibili le une alle altre. Ne derivano tre sottolineature.</w:t>
      </w:r>
    </w:p>
    <w:p w:rsidR="006829B4" w:rsidRDefault="006829B4" w:rsidP="006829B4">
      <w:pPr>
        <w:jc w:val="both"/>
      </w:pPr>
    </w:p>
    <w:p w:rsidR="006829B4" w:rsidRDefault="009B13FB" w:rsidP="006829B4">
      <w:pPr>
        <w:jc w:val="both"/>
      </w:pPr>
      <w:r>
        <w:t>4.</w:t>
      </w:r>
      <w:r w:rsidR="006829B4">
        <w:t xml:space="preserve">2. </w:t>
      </w:r>
      <w:r w:rsidR="006829B4" w:rsidRPr="00816FBE">
        <w:rPr>
          <w:i/>
        </w:rPr>
        <w:t>I tre livelli imprescindibili del confronto attuale con le altre religioni</w:t>
      </w:r>
      <w:r w:rsidR="006829B4">
        <w:t>. Dalla rilettura critica delle dimensioni dell’istanza pluralista attuale possiamo ricavare tre livelli costitutivi del confronto della Chiesa con le religioni.</w:t>
      </w:r>
    </w:p>
    <w:p w:rsidR="006829B4" w:rsidRDefault="006829B4" w:rsidP="006829B4">
      <w:pPr>
        <w:jc w:val="both"/>
      </w:pPr>
    </w:p>
    <w:p w:rsidR="006829B4" w:rsidRDefault="006829B4" w:rsidP="006829B4">
      <w:pPr>
        <w:jc w:val="both"/>
      </w:pPr>
      <w:r w:rsidRPr="008B68C7">
        <w:rPr>
          <w:i/>
        </w:rPr>
        <w:t>(a) Si tratta anzitutto di mantenere in vista il livello dell’esperienza e più precisamente del «fare esperienza»</w:t>
      </w:r>
      <w:r>
        <w:t xml:space="preserve">. «Fare esperienza», come lascia intendere il verbo, non è semplicemente ricevere stimoli, provare sensazioni, percepire qualcosa. L’esperienza include un’attiva risposta alla provocazione che viene dalla realtà sperimentata e solo all’interno di questa risposta si realizza. Ne deriva il </w:t>
      </w:r>
      <w:r w:rsidRPr="006C5891">
        <w:rPr>
          <w:i/>
        </w:rPr>
        <w:t>carattere responsoriale</w:t>
      </w:r>
      <w:r>
        <w:t xml:space="preserve"> del nostro percepire e pensare. In essi corrispondiamo a un’esigenza </w:t>
      </w:r>
      <w:r w:rsidRPr="0079786B">
        <w:rPr>
          <w:i/>
        </w:rPr>
        <w:t>(</w:t>
      </w:r>
      <w:proofErr w:type="spellStart"/>
      <w:r w:rsidRPr="0079786B">
        <w:rPr>
          <w:i/>
        </w:rPr>
        <w:t>Ansp</w:t>
      </w:r>
      <w:r>
        <w:rPr>
          <w:i/>
        </w:rPr>
        <w:t>r</w:t>
      </w:r>
      <w:r w:rsidRPr="0079786B">
        <w:rPr>
          <w:i/>
        </w:rPr>
        <w:t>uch</w:t>
      </w:r>
      <w:proofErr w:type="spellEnd"/>
      <w:r w:rsidRPr="0079786B">
        <w:rPr>
          <w:i/>
        </w:rPr>
        <w:t>)</w:t>
      </w:r>
      <w:r>
        <w:t xml:space="preserve"> posta dal reale e proprio attraverso questa risposta portiamo a linguaggio ciò che viviamo. Perciò l’oggetto della nostra conoscenza, che rappresenta la misura secondo cui </w:t>
      </w:r>
      <w:r>
        <w:lastRenderedPageBreak/>
        <w:t xml:space="preserve">valutiamo la verità o falsità dei nostri giudizi, è già da sempre con-costituito da un’azione propria del soggetto conoscente. </w:t>
      </w:r>
    </w:p>
    <w:p w:rsidR="006829B4" w:rsidRDefault="006829B4" w:rsidP="006829B4">
      <w:pPr>
        <w:ind w:left="170" w:right="113"/>
        <w:jc w:val="both"/>
        <w:rPr>
          <w:sz w:val="22"/>
        </w:rPr>
      </w:pPr>
    </w:p>
    <w:p w:rsidR="006829B4" w:rsidRDefault="006829B4" w:rsidP="006829B4">
      <w:pPr>
        <w:ind w:left="170" w:right="113"/>
        <w:jc w:val="both"/>
        <w:rPr>
          <w:sz w:val="22"/>
        </w:rPr>
      </w:pPr>
      <w:r w:rsidRPr="003E79A8">
        <w:rPr>
          <w:sz w:val="22"/>
        </w:rPr>
        <w:t>Per dirla con la tradizione filosofica aristotelica, ripresa nella Scolastica: «</w:t>
      </w:r>
      <w:proofErr w:type="spellStart"/>
      <w:r w:rsidRPr="003E79A8">
        <w:rPr>
          <w:sz w:val="22"/>
        </w:rPr>
        <w:t>Nihil</w:t>
      </w:r>
      <w:proofErr w:type="spellEnd"/>
      <w:r w:rsidRPr="003E79A8">
        <w:rPr>
          <w:sz w:val="22"/>
        </w:rPr>
        <w:t xml:space="preserve"> </w:t>
      </w:r>
      <w:proofErr w:type="spellStart"/>
      <w:r w:rsidRPr="003E79A8">
        <w:rPr>
          <w:sz w:val="22"/>
        </w:rPr>
        <w:t>cognoscimus</w:t>
      </w:r>
      <w:proofErr w:type="spellEnd"/>
      <w:r w:rsidRPr="003E79A8">
        <w:rPr>
          <w:sz w:val="22"/>
        </w:rPr>
        <w:t xml:space="preserve"> </w:t>
      </w:r>
      <w:proofErr w:type="spellStart"/>
      <w:r w:rsidRPr="003E79A8">
        <w:rPr>
          <w:sz w:val="22"/>
        </w:rPr>
        <w:t>nisi</w:t>
      </w:r>
      <w:proofErr w:type="spellEnd"/>
      <w:r w:rsidRPr="003E79A8">
        <w:rPr>
          <w:sz w:val="22"/>
        </w:rPr>
        <w:t xml:space="preserve"> verbo mentis» (nulla conosciamo se non all’interno di una parola prodotta dal nostro spirito). Non si tratta di un prodotto arbitrario della fantasia, ma piuttosto di una parola che cerca di corrispondere al reale, portando a espressione non un monologo dell’anima con se stessa, ma la verità della cosa, l’esigenza che misura il nostro pensare e giudicare. Anzi, occorre dire di più: al di là dell’obiettività degli oggetti percepiti, che si offrono come misura del giudizio del soggetto che percepisce, l’esperienza oggettiva realizza una risposta all’esigenza posta dal reale che vale in ogni tempo e per qualsiasi soggetto conoscente. Quest</w:t>
      </w:r>
      <w:r>
        <w:rPr>
          <w:sz w:val="22"/>
        </w:rPr>
        <w:t xml:space="preserve">a esperienza </w:t>
      </w:r>
      <w:r w:rsidRPr="003E79A8">
        <w:rPr>
          <w:sz w:val="22"/>
        </w:rPr>
        <w:t xml:space="preserve">contiene sempre la scoperta di un’esigenza della realtà che è </w:t>
      </w:r>
      <w:r w:rsidRPr="003E79A8">
        <w:rPr>
          <w:i/>
          <w:sz w:val="22"/>
        </w:rPr>
        <w:t>obiettiva</w:t>
      </w:r>
      <w:r w:rsidRPr="003E79A8">
        <w:rPr>
          <w:sz w:val="22"/>
        </w:rPr>
        <w:t>, cioè tale da offrire la misura del nostro percepire e pensare e da reclamare un determinato modo di risposta, all’interno del quale soltanto l’esperienza può essere portata a linguaggio (e quindi può essere percepita dal s</w:t>
      </w:r>
      <w:r>
        <w:rPr>
          <w:sz w:val="22"/>
        </w:rPr>
        <w:t>oggetto e comunicata ad altri).</w:t>
      </w:r>
    </w:p>
    <w:p w:rsidR="006829B4" w:rsidRPr="003E79A8" w:rsidRDefault="006829B4" w:rsidP="006829B4">
      <w:pPr>
        <w:ind w:left="170" w:right="113"/>
        <w:jc w:val="both"/>
        <w:rPr>
          <w:sz w:val="22"/>
        </w:rPr>
      </w:pPr>
    </w:p>
    <w:p w:rsidR="006829B4" w:rsidRDefault="006829B4" w:rsidP="006829B4">
      <w:pPr>
        <w:jc w:val="both"/>
      </w:pPr>
      <w:r>
        <w:t xml:space="preserve">La pluralità di esperienze rimanda non solo a varie possibili interpretazioni, ma anche a diversi modi di rispondere all’esigenza con cui la realtà ci reclama e interpella. Tale esigenza, peraltro, non è percepibile se non all’interno della risposta, del </w:t>
      </w:r>
      <w:proofErr w:type="spellStart"/>
      <w:r w:rsidRPr="00EB0839">
        <w:rPr>
          <w:i/>
        </w:rPr>
        <w:t>verbum</w:t>
      </w:r>
      <w:proofErr w:type="spellEnd"/>
      <w:r w:rsidRPr="00EB0839">
        <w:rPr>
          <w:i/>
        </w:rPr>
        <w:t xml:space="preserve"> mentis</w:t>
      </w:r>
      <w:r>
        <w:t xml:space="preserve"> con cui cerchiamo di rispondere. L’esperienza quindi deriva dal modo in cui noi, attraverso il percepire e il pensare, rispondiamo all’esigenza posta dal reale.</w:t>
      </w:r>
    </w:p>
    <w:p w:rsidR="006829B4" w:rsidRDefault="006829B4" w:rsidP="006829B4">
      <w:pPr>
        <w:jc w:val="both"/>
      </w:pPr>
    </w:p>
    <w:p w:rsidR="006829B4" w:rsidRDefault="006829B4" w:rsidP="006829B4">
      <w:pPr>
        <w:jc w:val="both"/>
      </w:pPr>
      <w:r w:rsidRPr="008B68C7">
        <w:rPr>
          <w:i/>
        </w:rPr>
        <w:t>(b) Occorre inoltre tenere in vista all’interno della prassi di un sano dialogo (bilaterale) il livello della «</w:t>
      </w:r>
      <w:proofErr w:type="spellStart"/>
      <w:r w:rsidRPr="008B68C7">
        <w:rPr>
          <w:i/>
        </w:rPr>
        <w:t>veritas</w:t>
      </w:r>
      <w:proofErr w:type="spellEnd"/>
      <w:r w:rsidRPr="008B68C7">
        <w:rPr>
          <w:i/>
        </w:rPr>
        <w:t xml:space="preserve"> sempre </w:t>
      </w:r>
      <w:proofErr w:type="spellStart"/>
      <w:r w:rsidRPr="008B68C7">
        <w:rPr>
          <w:i/>
        </w:rPr>
        <w:t>maior</w:t>
      </w:r>
      <w:proofErr w:type="spellEnd"/>
      <w:r w:rsidRPr="008B68C7">
        <w:rPr>
          <w:i/>
        </w:rPr>
        <w:t>»</w:t>
      </w:r>
      <w:r>
        <w:t xml:space="preserve"> che reclama e fonda la stessa esigenza di dialogo: in esso si tratta non tanto di imporre ad altri la propria verità come esigenza, quanto piuttosto di condividere con gli altri l’esigenza di verità che ci reclama all’interno della nostra esperienza di fede. </w:t>
      </w:r>
      <w:r w:rsidRPr="00E044A6">
        <w:t>È</w:t>
      </w:r>
      <w:r>
        <w:t xml:space="preserve"> proprio questo livello della verità intesa come esigenza che reclama e che non è mai adeguatamente rappresentabile ed esprimibile, ma sempre intenzionata nelle risposte pur parziali che vengono date, che si tiene aperto quel dialogo con la realtà che fonda l’apertura alla verità nelle risposte date.</w:t>
      </w:r>
    </w:p>
    <w:p w:rsidR="006829B4" w:rsidRDefault="006829B4" w:rsidP="006829B4">
      <w:pPr>
        <w:jc w:val="both"/>
      </w:pPr>
      <w:r>
        <w:t>Chiamiamo avvenimento, «evento» questo momento in cui emerge, all’interno dell’esperienza, un’esigenza di fronte alla quale la nostra risposta si rivela sempre già di nuovo insufficiente, così che noi siamo indotti a cercare nuovi modi di corrispondere alla realtà e quindi di fare esperienza. Si vuole indicare in tal modo che si tratta di qualcosa che accade nell’atto del percepire e conoscere, ma non è frutto di questo atto. Si dà in esso e con esso, come qualcosa al di là del nostro agire e conoscere, che però reclama il nostro conoscere e lo apre a un’ulteriore verità. Così l’esperienza si scopre sempre insufficiente e bisognosa di superamento, di critica, proprio nello spazio della sua oggettività.</w:t>
      </w:r>
    </w:p>
    <w:p w:rsidR="006829B4" w:rsidRDefault="006829B4" w:rsidP="006829B4">
      <w:pPr>
        <w:jc w:val="both"/>
      </w:pPr>
    </w:p>
    <w:p w:rsidR="000629A8" w:rsidRDefault="006829B4" w:rsidP="006829B4">
      <w:pPr>
        <w:jc w:val="both"/>
      </w:pPr>
      <w:r w:rsidRPr="006C35E0">
        <w:rPr>
          <w:i/>
        </w:rPr>
        <w:t>(c) Infine occorre mantenere il confronto al livello del costituirsi del soggetto nell’esperienza</w:t>
      </w:r>
      <w:r>
        <w:t xml:space="preserve">. </w:t>
      </w:r>
      <w:r w:rsidRPr="00E044A6">
        <w:t>È</w:t>
      </w:r>
      <w:r>
        <w:t xml:space="preserve"> ciò che si chiama il livello personale e quindi interpersonale dell’incontro. Questo livello personale è proprio quello del soggetto che si scopre interpellato da una parola di rivelazione, da una chiamata di Dio che si rivolge a lui in un «faccia a faccia» che si dà nelle/ma al di là delle condizioni storicamente date e quindi contingenti. A questo livello Gesù non appare mai nel cristianesimo al modo di un oggetto o simbolo religioso che attiva qualche intuizione mistica o spirituale, ma piuttosto si tratta di un soggetto che dischiude un luogo dell’esperienza religiosa, uno spazio esistenziale che è la «</w:t>
      </w:r>
      <w:proofErr w:type="spellStart"/>
      <w:r>
        <w:t>fides</w:t>
      </w:r>
      <w:proofErr w:type="spellEnd"/>
      <w:r>
        <w:t xml:space="preserve"> </w:t>
      </w:r>
      <w:proofErr w:type="spellStart"/>
      <w:r>
        <w:t>Christi</w:t>
      </w:r>
      <w:proofErr w:type="spellEnd"/>
      <w:r>
        <w:t xml:space="preserve">», la sua intimità con Dio Padre. Tale soggettività che si con-costituisce partecipando al modo di costruire l’esperienza storica proprio di Gesù, è da subito messo in gioco all’interno di una certa </w:t>
      </w:r>
      <w:proofErr w:type="spellStart"/>
      <w:r>
        <w:t>interpersonalità</w:t>
      </w:r>
      <w:proofErr w:type="spellEnd"/>
      <w:r>
        <w:t xml:space="preserve"> ecclesiale, che non è una generica comunità scientifica più o meno neutrale, ma è </w:t>
      </w:r>
      <w:smartTag w:uri="urn:schemas-microsoft-com:office:smarttags" w:element="PersonName">
        <w:smartTagPr>
          <w:attr w:name="ProductID" w:val="la Chiesa"/>
        </w:smartTagPr>
        <w:r>
          <w:t>la Chiesa</w:t>
        </w:r>
      </w:smartTag>
      <w:r>
        <w:t xml:space="preserve"> di Cristo. </w:t>
      </w:r>
      <w:r w:rsidRPr="00E044A6">
        <w:t>È</w:t>
      </w:r>
      <w:r>
        <w:t xml:space="preserve"> in questa </w:t>
      </w:r>
      <w:proofErr w:type="spellStart"/>
      <w:r>
        <w:t>interpersonalità</w:t>
      </w:r>
      <w:proofErr w:type="spellEnd"/>
      <w:r>
        <w:t xml:space="preserve"> nella quale i soggetti si costituiscono partecipando all’esperienza di Gesù (la forma storica della fede di Gesù) ad essere promotrice del dialogo e del confronto con altre forme dell’esperienza religiosa. </w:t>
      </w:r>
      <w:r w:rsidRPr="00E044A6">
        <w:t>È</w:t>
      </w:r>
      <w:r>
        <w:t xml:space="preserve"> </w:t>
      </w:r>
      <w:smartTag w:uri="urn:schemas-microsoft-com:office:smarttags" w:element="PersonName">
        <w:smartTagPr>
          <w:attr w:name="ProductID" w:val="la Chiesa"/>
        </w:smartTagPr>
        <w:r>
          <w:t>la Chiesa</w:t>
        </w:r>
      </w:smartTag>
      <w:r>
        <w:t xml:space="preserve"> che dialoga con le religioni, non una comunità scientifica astratta o un gruppo di esperti senza identità e appartenenza. </w:t>
      </w:r>
      <w:smartTag w:uri="urn:schemas-microsoft-com:office:smarttags" w:element="PersonName">
        <w:smartTagPr>
          <w:attr w:name="ProductID" w:val="la Chiesa"/>
        </w:smartTagPr>
        <w:r>
          <w:t>La Chiesa</w:t>
        </w:r>
      </w:smartTag>
      <w:r>
        <w:t xml:space="preserve"> lo fa proprio a partire da o in relazione a una certa continuità e </w:t>
      </w:r>
      <w:r>
        <w:lastRenderedPageBreak/>
        <w:t>unità di senso inscritte nella storia e non al di là di essa e quindi a partire da una certa identità, chiamata a verificare se il suo dialogo con la realtà è ancora aperto, oppure immunizzato rispetto alle novità (e quindi alle crisi) della storia.</w:t>
      </w:r>
    </w:p>
    <w:p w:rsidR="006829B4" w:rsidRPr="006829B4" w:rsidRDefault="006829B4" w:rsidP="006829B4">
      <w:pPr>
        <w:jc w:val="both"/>
      </w:pPr>
    </w:p>
    <w:sectPr w:rsidR="006829B4" w:rsidRPr="006829B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2E34" w:rsidRDefault="00E62E34" w:rsidP="006829B4">
      <w:r>
        <w:separator/>
      </w:r>
    </w:p>
  </w:endnote>
  <w:endnote w:type="continuationSeparator" w:id="0">
    <w:p w:rsidR="00E62E34" w:rsidRDefault="00E62E34" w:rsidP="00682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2E34" w:rsidRDefault="00E62E34" w:rsidP="006829B4">
      <w:r>
        <w:separator/>
      </w:r>
    </w:p>
  </w:footnote>
  <w:footnote w:type="continuationSeparator" w:id="0">
    <w:p w:rsidR="00E62E34" w:rsidRDefault="00E62E34" w:rsidP="006829B4">
      <w:r>
        <w:continuationSeparator/>
      </w:r>
    </w:p>
  </w:footnote>
  <w:footnote w:id="1">
    <w:p w:rsidR="006829B4" w:rsidRDefault="006829B4" w:rsidP="006829B4">
      <w:pPr>
        <w:pStyle w:val="Testonotaapidipagina"/>
        <w:jc w:val="both"/>
      </w:pPr>
      <w:r>
        <w:rPr>
          <w:rStyle w:val="Rimandonotaapidipagina"/>
        </w:rPr>
        <w:footnoteRef/>
      </w:r>
      <w:r>
        <w:t xml:space="preserve"> Si veda </w:t>
      </w:r>
      <w:r w:rsidRPr="007F2C04">
        <w:rPr>
          <w:smallCaps/>
        </w:rPr>
        <w:t xml:space="preserve">R. </w:t>
      </w:r>
      <w:proofErr w:type="spellStart"/>
      <w:r w:rsidRPr="007F2C04">
        <w:rPr>
          <w:smallCaps/>
        </w:rPr>
        <w:t>Panikkar</w:t>
      </w:r>
      <w:proofErr w:type="spellEnd"/>
      <w:r>
        <w:t xml:space="preserve">, </w:t>
      </w:r>
      <w:r w:rsidRPr="007F2C04">
        <w:rPr>
          <w:i/>
        </w:rPr>
        <w:t>Il Giordano, il Tevere e il Gange</w:t>
      </w:r>
      <w:r>
        <w:t xml:space="preserve">, in </w:t>
      </w:r>
      <w:r w:rsidRPr="007F2C04">
        <w:rPr>
          <w:smallCaps/>
        </w:rPr>
        <w:t xml:space="preserve">J. </w:t>
      </w:r>
      <w:proofErr w:type="spellStart"/>
      <w:r w:rsidRPr="007F2C04">
        <w:rPr>
          <w:smallCaps/>
        </w:rPr>
        <w:t>Hick</w:t>
      </w:r>
      <w:proofErr w:type="spellEnd"/>
      <w:r w:rsidRPr="007F2C04">
        <w:rPr>
          <w:smallCaps/>
        </w:rPr>
        <w:t xml:space="preserve"> – P. </w:t>
      </w:r>
      <w:proofErr w:type="spellStart"/>
      <w:r w:rsidRPr="007F2C04">
        <w:rPr>
          <w:smallCaps/>
        </w:rPr>
        <w:t>Knitter</w:t>
      </w:r>
      <w:proofErr w:type="spellEnd"/>
      <w:r>
        <w:t xml:space="preserve"> (ed), </w:t>
      </w:r>
      <w:r w:rsidRPr="007F2C04">
        <w:rPr>
          <w:i/>
        </w:rPr>
        <w:t>L’unicità cristiana: un mito? Per una teologia pluralista delle religioni</w:t>
      </w:r>
      <w:r>
        <w:t>, Cittadella editrice, Assisi 1994, pp. 193-197.</w:t>
      </w:r>
    </w:p>
  </w:footnote>
  <w:footnote w:id="2">
    <w:p w:rsidR="006829B4" w:rsidRPr="00910CAC" w:rsidRDefault="006829B4" w:rsidP="006829B4">
      <w:pPr>
        <w:ind w:right="113"/>
        <w:jc w:val="both"/>
        <w:rPr>
          <w:sz w:val="20"/>
          <w:szCs w:val="20"/>
        </w:rPr>
      </w:pPr>
      <w:r w:rsidRPr="00910CAC">
        <w:rPr>
          <w:rStyle w:val="Rimandonotaapidipagina"/>
          <w:sz w:val="20"/>
          <w:szCs w:val="20"/>
        </w:rPr>
        <w:footnoteRef/>
      </w:r>
      <w:r w:rsidRPr="00910CAC">
        <w:rPr>
          <w:sz w:val="20"/>
          <w:szCs w:val="20"/>
        </w:rPr>
        <w:t xml:space="preserve"> </w:t>
      </w:r>
      <w:r w:rsidRPr="00910CAC">
        <w:rPr>
          <w:smallCaps/>
          <w:sz w:val="20"/>
          <w:szCs w:val="20"/>
        </w:rPr>
        <w:t>J. Ries</w:t>
      </w:r>
      <w:r w:rsidRPr="00910CAC">
        <w:rPr>
          <w:sz w:val="20"/>
          <w:szCs w:val="20"/>
        </w:rPr>
        <w:t xml:space="preserve">, </w:t>
      </w:r>
      <w:r w:rsidRPr="00910CAC">
        <w:rPr>
          <w:i/>
          <w:sz w:val="20"/>
          <w:szCs w:val="20"/>
        </w:rPr>
        <w:t>I cristiani e le religioni</w:t>
      </w:r>
      <w:r w:rsidRPr="00910CAC">
        <w:rPr>
          <w:sz w:val="20"/>
          <w:szCs w:val="20"/>
        </w:rPr>
        <w:t xml:space="preserve"> (=Manuale di Teologia 5), Brescia, Queriniana, 1992</w:t>
      </w:r>
    </w:p>
  </w:footnote>
  <w:footnote w:id="3">
    <w:p w:rsidR="002E3110" w:rsidRPr="00DD7B34" w:rsidRDefault="002E3110" w:rsidP="002E3110">
      <w:pPr>
        <w:pStyle w:val="Testonotaapidipagina"/>
        <w:jc w:val="both"/>
        <w:rPr>
          <w:lang w:val="en-GB"/>
        </w:rPr>
      </w:pPr>
      <w:r w:rsidRPr="00DD7B34">
        <w:rPr>
          <w:rStyle w:val="Rimandonotaapidipagina"/>
        </w:rPr>
        <w:footnoteRef/>
      </w:r>
      <w:r w:rsidRPr="00DD7B34">
        <w:t xml:space="preserve"> Pe</w:t>
      </w:r>
      <w:r>
        <w:t>r questa interpretazione</w:t>
      </w:r>
      <w:r w:rsidRPr="00DD7B34">
        <w:t xml:space="preserve"> si veda </w:t>
      </w:r>
      <w:proofErr w:type="spellStart"/>
      <w:r w:rsidRPr="00DD7B34">
        <w:rPr>
          <w:smallCaps/>
        </w:rPr>
        <w:t>Ch</w:t>
      </w:r>
      <w:proofErr w:type="spellEnd"/>
      <w:r w:rsidRPr="00DD7B34">
        <w:rPr>
          <w:smallCaps/>
        </w:rPr>
        <w:t xml:space="preserve">. </w:t>
      </w:r>
      <w:proofErr w:type="spellStart"/>
      <w:r w:rsidRPr="00DD7B34">
        <w:rPr>
          <w:smallCaps/>
        </w:rPr>
        <w:t>Théobald</w:t>
      </w:r>
      <w:proofErr w:type="spellEnd"/>
      <w:r w:rsidRPr="00DD7B34">
        <w:t xml:space="preserve">, </w:t>
      </w:r>
      <w:r w:rsidRPr="00DD7B34">
        <w:rPr>
          <w:i/>
        </w:rPr>
        <w:t xml:space="preserve">Le </w:t>
      </w:r>
      <w:proofErr w:type="spellStart"/>
      <w:r w:rsidRPr="00DD7B34">
        <w:rPr>
          <w:i/>
        </w:rPr>
        <w:t>modernisme</w:t>
      </w:r>
      <w:proofErr w:type="spellEnd"/>
      <w:r w:rsidRPr="00DD7B34">
        <w:rPr>
          <w:i/>
        </w:rPr>
        <w:t xml:space="preserve"> </w:t>
      </w:r>
      <w:proofErr w:type="spellStart"/>
      <w:r w:rsidRPr="00DD7B34">
        <w:rPr>
          <w:i/>
        </w:rPr>
        <w:t>catholique</w:t>
      </w:r>
      <w:proofErr w:type="spellEnd"/>
      <w:r w:rsidRPr="00DD7B34">
        <w:rPr>
          <w:i/>
        </w:rPr>
        <w:t xml:space="preserve">. </w:t>
      </w:r>
      <w:proofErr w:type="spellStart"/>
      <w:r w:rsidRPr="00DD7B34">
        <w:rPr>
          <w:i/>
        </w:rPr>
        <w:t>Ses</w:t>
      </w:r>
      <w:proofErr w:type="spellEnd"/>
      <w:r w:rsidRPr="00DD7B34">
        <w:rPr>
          <w:i/>
        </w:rPr>
        <w:t xml:space="preserve"> </w:t>
      </w:r>
      <w:proofErr w:type="spellStart"/>
      <w:r w:rsidRPr="00DD7B34">
        <w:rPr>
          <w:i/>
        </w:rPr>
        <w:t>enjeux</w:t>
      </w:r>
      <w:proofErr w:type="spellEnd"/>
      <w:r w:rsidRPr="00DD7B34">
        <w:rPr>
          <w:i/>
        </w:rPr>
        <w:t xml:space="preserve"> </w:t>
      </w:r>
      <w:proofErr w:type="spellStart"/>
      <w:r w:rsidRPr="00DD7B34">
        <w:rPr>
          <w:i/>
        </w:rPr>
        <w:t>dans</w:t>
      </w:r>
      <w:proofErr w:type="spellEnd"/>
      <w:r w:rsidRPr="00DD7B34">
        <w:rPr>
          <w:i/>
        </w:rPr>
        <w:t xml:space="preserve"> le </w:t>
      </w:r>
      <w:proofErr w:type="spellStart"/>
      <w:r w:rsidRPr="00DD7B34">
        <w:rPr>
          <w:i/>
        </w:rPr>
        <w:t>débat</w:t>
      </w:r>
      <w:proofErr w:type="spellEnd"/>
      <w:r w:rsidRPr="00DD7B34">
        <w:rPr>
          <w:i/>
        </w:rPr>
        <w:t xml:space="preserve"> </w:t>
      </w:r>
      <w:proofErr w:type="spellStart"/>
      <w:r w:rsidRPr="00DD7B34">
        <w:rPr>
          <w:i/>
        </w:rPr>
        <w:t>contemporain</w:t>
      </w:r>
      <w:proofErr w:type="spellEnd"/>
      <w:r w:rsidRPr="00DD7B34">
        <w:rPr>
          <w:i/>
        </w:rPr>
        <w:t xml:space="preserve"> </w:t>
      </w:r>
      <w:proofErr w:type="spellStart"/>
      <w:r w:rsidRPr="00DD7B34">
        <w:rPr>
          <w:i/>
        </w:rPr>
        <w:t>sur</w:t>
      </w:r>
      <w:proofErr w:type="spellEnd"/>
      <w:r w:rsidRPr="00DD7B34">
        <w:rPr>
          <w:i/>
        </w:rPr>
        <w:t xml:space="preserve"> la </w:t>
      </w:r>
      <w:proofErr w:type="spellStart"/>
      <w:r w:rsidRPr="00DD7B34">
        <w:rPr>
          <w:i/>
        </w:rPr>
        <w:t>mdoernité</w:t>
      </w:r>
      <w:proofErr w:type="spellEnd"/>
      <w:r w:rsidRPr="00DD7B34">
        <w:rPr>
          <w:i/>
        </w:rPr>
        <w:t xml:space="preserve"> en </w:t>
      </w:r>
      <w:proofErr w:type="spellStart"/>
      <w:r w:rsidRPr="00DD7B34">
        <w:rPr>
          <w:i/>
        </w:rPr>
        <w:t>théologie</w:t>
      </w:r>
      <w:proofErr w:type="spellEnd"/>
      <w:r w:rsidRPr="00DD7B34">
        <w:t xml:space="preserve">, in </w:t>
      </w:r>
      <w:r w:rsidRPr="00DD7B34">
        <w:rPr>
          <w:smallCaps/>
        </w:rPr>
        <w:t xml:space="preserve">P. Gisel – P. </w:t>
      </w:r>
      <w:proofErr w:type="spellStart"/>
      <w:r w:rsidRPr="00DD7B34">
        <w:rPr>
          <w:smallCaps/>
        </w:rPr>
        <w:t>Evrard</w:t>
      </w:r>
      <w:proofErr w:type="spellEnd"/>
      <w:r w:rsidRPr="00DD7B34">
        <w:t xml:space="preserve"> (ed), </w:t>
      </w:r>
      <w:smartTag w:uri="urn:schemas-microsoft-com:office:smarttags" w:element="PersonName">
        <w:smartTagPr>
          <w:attr w:name="ProductID" w:val="La Th￩ologie"/>
        </w:smartTagPr>
        <w:r w:rsidRPr="00DD7B34">
          <w:rPr>
            <w:i/>
          </w:rPr>
          <w:t xml:space="preserve">La </w:t>
        </w:r>
        <w:proofErr w:type="spellStart"/>
        <w:r w:rsidRPr="00DD7B34">
          <w:rPr>
            <w:i/>
          </w:rPr>
          <w:t>Théologie</w:t>
        </w:r>
      </w:smartTag>
      <w:proofErr w:type="spellEnd"/>
      <w:r w:rsidRPr="00DD7B34">
        <w:rPr>
          <w:i/>
        </w:rPr>
        <w:t xml:space="preserve"> en </w:t>
      </w:r>
      <w:proofErr w:type="spellStart"/>
      <w:r w:rsidRPr="00DD7B34">
        <w:rPr>
          <w:i/>
        </w:rPr>
        <w:t>postmodernité</w:t>
      </w:r>
      <w:proofErr w:type="spellEnd"/>
      <w:r>
        <w:t xml:space="preserve">, </w:t>
      </w:r>
      <w:proofErr w:type="spellStart"/>
      <w:r>
        <w:t>Labor</w:t>
      </w:r>
      <w:proofErr w:type="spellEnd"/>
      <w:r>
        <w:t xml:space="preserve"> et Fides, </w:t>
      </w:r>
      <w:proofErr w:type="spellStart"/>
      <w:r>
        <w:t>Génève</w:t>
      </w:r>
      <w:proofErr w:type="spellEnd"/>
      <w:r w:rsidRPr="00DD7B34">
        <w:t xml:space="preserve"> 1996, 87-109.</w:t>
      </w:r>
      <w:r>
        <w:rPr>
          <w:lang w:val="en-GB"/>
        </w:rPr>
        <w:t xml:space="preserve"> </w:t>
      </w:r>
      <w:r w:rsidRPr="00DD7B34">
        <w:t xml:space="preserve">Si veda </w:t>
      </w:r>
      <w:r w:rsidRPr="00DD7B34">
        <w:rPr>
          <w:smallCaps/>
        </w:rPr>
        <w:t>A. Cozzi</w:t>
      </w:r>
      <w:r w:rsidRPr="00DD7B34">
        <w:t xml:space="preserve">, </w:t>
      </w:r>
      <w:r w:rsidRPr="00DD7B34">
        <w:rPr>
          <w:i/>
        </w:rPr>
        <w:t>La crisi modernista: conflitto insanabile con la modernità o trasformazione culturale del cristianesimo?</w:t>
      </w:r>
      <w:r w:rsidRPr="00DD7B34">
        <w:t xml:space="preserve">, in </w:t>
      </w:r>
      <w:r w:rsidRPr="00DD7B34">
        <w:rPr>
          <w:smallCaps/>
        </w:rPr>
        <w:t>L. Vaccaro – M. Vergottini</w:t>
      </w:r>
      <w:r w:rsidRPr="00DD7B34">
        <w:t xml:space="preserve"> (ed), </w:t>
      </w:r>
      <w:r w:rsidRPr="00DD7B34">
        <w:rPr>
          <w:i/>
        </w:rPr>
        <w:t>Modernismo. Un secolo dopo</w:t>
      </w:r>
      <w:r w:rsidRPr="00DD7B34">
        <w:t xml:space="preserve">, </w:t>
      </w:r>
      <w:proofErr w:type="spellStart"/>
      <w:r w:rsidRPr="00DD7B34">
        <w:t>Morcelliana</w:t>
      </w:r>
      <w:proofErr w:type="spellEnd"/>
      <w:r w:rsidRPr="00DD7B34">
        <w:t>, Brescia 2010, 19-53.</w:t>
      </w:r>
      <w:r>
        <w:t xml:space="preserve"> </w:t>
      </w:r>
      <w:r w:rsidRPr="00DD7B34">
        <w:rPr>
          <w:smallCaps/>
        </w:rPr>
        <w:t>P. Colin</w:t>
      </w:r>
      <w:r w:rsidRPr="00DD7B34">
        <w:t xml:space="preserve">, </w:t>
      </w:r>
      <w:r w:rsidRPr="00DD7B34">
        <w:rPr>
          <w:i/>
        </w:rPr>
        <w:t xml:space="preserve">L’audace et le </w:t>
      </w:r>
      <w:proofErr w:type="spellStart"/>
      <w:r w:rsidRPr="00DD7B34">
        <w:rPr>
          <w:i/>
        </w:rPr>
        <w:t>supçon</w:t>
      </w:r>
      <w:proofErr w:type="spellEnd"/>
      <w:r w:rsidRPr="00DD7B34">
        <w:rPr>
          <w:i/>
        </w:rPr>
        <w:t xml:space="preserve">. La </w:t>
      </w:r>
      <w:proofErr w:type="spellStart"/>
      <w:r w:rsidRPr="00DD7B34">
        <w:rPr>
          <w:i/>
        </w:rPr>
        <w:t>crise</w:t>
      </w:r>
      <w:proofErr w:type="spellEnd"/>
      <w:r w:rsidRPr="00DD7B34">
        <w:rPr>
          <w:i/>
        </w:rPr>
        <w:t xml:space="preserve"> moderniste </w:t>
      </w:r>
      <w:proofErr w:type="spellStart"/>
      <w:r w:rsidRPr="00DD7B34">
        <w:rPr>
          <w:i/>
        </w:rPr>
        <w:t>dans</w:t>
      </w:r>
      <w:proofErr w:type="spellEnd"/>
      <w:r w:rsidRPr="00DD7B34">
        <w:rPr>
          <w:i/>
        </w:rPr>
        <w:t xml:space="preserve"> le </w:t>
      </w:r>
      <w:proofErr w:type="spellStart"/>
      <w:r w:rsidRPr="00DD7B34">
        <w:rPr>
          <w:i/>
        </w:rPr>
        <w:t>catholicisme</w:t>
      </w:r>
      <w:proofErr w:type="spellEnd"/>
      <w:r w:rsidRPr="00DD7B34">
        <w:rPr>
          <w:i/>
        </w:rPr>
        <w:t xml:space="preserve"> </w:t>
      </w:r>
      <w:proofErr w:type="spellStart"/>
      <w:r w:rsidRPr="00DD7B34">
        <w:rPr>
          <w:i/>
        </w:rPr>
        <w:t>français</w:t>
      </w:r>
      <w:proofErr w:type="spellEnd"/>
      <w:r w:rsidRPr="00DD7B34">
        <w:rPr>
          <w:i/>
        </w:rPr>
        <w:t xml:space="preserve"> (1893-1914)</w:t>
      </w:r>
      <w:r>
        <w:t xml:space="preserve">, </w:t>
      </w:r>
      <w:proofErr w:type="spellStart"/>
      <w:r>
        <w:t>Desclée</w:t>
      </w:r>
      <w:proofErr w:type="spellEnd"/>
      <w:r>
        <w:t xml:space="preserve"> de </w:t>
      </w:r>
      <w:proofErr w:type="spellStart"/>
      <w:r>
        <w:t>Brouwer</w:t>
      </w:r>
      <w:proofErr w:type="spellEnd"/>
      <w:r>
        <w:t>, Paris</w:t>
      </w:r>
      <w:r w:rsidRPr="00DD7B34">
        <w:t xml:space="preserve"> 1997.</w:t>
      </w:r>
    </w:p>
  </w:footnote>
  <w:footnote w:id="4">
    <w:p w:rsidR="002E3110" w:rsidRPr="00DD7B34" w:rsidRDefault="002E3110" w:rsidP="002E3110">
      <w:pPr>
        <w:pStyle w:val="Testonotaapidipagina"/>
        <w:jc w:val="both"/>
      </w:pPr>
      <w:r w:rsidRPr="00DD7B34">
        <w:rPr>
          <w:rStyle w:val="Rimandonotaapidipagina"/>
        </w:rPr>
        <w:footnoteRef/>
      </w:r>
      <w:r w:rsidRPr="00DD7B34">
        <w:t xml:space="preserve"> In tal senso si esprime </w:t>
      </w:r>
      <w:r w:rsidRPr="00DD7B34">
        <w:rPr>
          <w:smallCaps/>
        </w:rPr>
        <w:t>L. Bedeschi</w:t>
      </w:r>
      <w:r w:rsidRPr="00DD7B34">
        <w:t xml:space="preserve">, </w:t>
      </w:r>
      <w:r w:rsidRPr="00DD7B34">
        <w:rPr>
          <w:i/>
        </w:rPr>
        <w:t>Interpretazioni e sviluppo del Modernismo cattolico</w:t>
      </w:r>
      <w:r w:rsidRPr="00DD7B34">
        <w:t xml:space="preserve">, Bompiani, Milano 1975, 41-43: «Il trapasso da una visione teologizzante a una interpretazione più umana e in certo senso secolarizzante della fede esponeva particolarmente all’erosione della critica le nozioni di Chiesa e di Trascendenza quali fino allora erano state sostenute… In altre parole i contesti di una realtà sacrale avevano portato principalmente a consolidare l’istituzione che di quella società rappresentava la guida unica. Ma ora che i mutati assetti sociali e politici ne contestavano il primato, e le coscienze rivendicavano la loro autonomia, in non pochi credenti si faceva strada il bisogno di verificarne la validità attraverso la carta costituzionale rappresentata dalla Bibbia letta con metodologie più appropriate… </w:t>
      </w:r>
      <w:smartTag w:uri="urn:schemas-microsoft-com:office:smarttags" w:element="PersonName">
        <w:smartTagPr>
          <w:attr w:name="ProductID" w:val="la Bibbia"/>
        </w:smartTagPr>
        <w:r w:rsidRPr="00DD7B34">
          <w:t>La Bibbia</w:t>
        </w:r>
      </w:smartTag>
      <w:r w:rsidRPr="00DD7B34">
        <w:t>, cioè il deposito sacro della rivelazione divina, diventava per conseguenza lo strumento alternativo al Diritto ecclesiastico per un recupero dei valori non compresi nell’</w:t>
      </w:r>
      <w:proofErr w:type="spellStart"/>
      <w:r w:rsidRPr="00DD7B34">
        <w:rPr>
          <w:i/>
        </w:rPr>
        <w:t>organon</w:t>
      </w:r>
      <w:proofErr w:type="spellEnd"/>
      <w:r w:rsidRPr="00DD7B34">
        <w:t xml:space="preserve"> teologico».</w:t>
      </w:r>
    </w:p>
  </w:footnote>
  <w:footnote w:id="5">
    <w:p w:rsidR="002E3110" w:rsidRPr="00DD7B34" w:rsidRDefault="002E3110" w:rsidP="002E3110">
      <w:pPr>
        <w:pStyle w:val="Testonotaapidipagina"/>
        <w:jc w:val="both"/>
      </w:pPr>
      <w:r w:rsidRPr="00DD7B34">
        <w:rPr>
          <w:rStyle w:val="Rimandonotaapidipagina"/>
        </w:rPr>
        <w:footnoteRef/>
      </w:r>
      <w:r w:rsidRPr="00DD7B34">
        <w:t xml:space="preserve"> Per avvertire tutta la portata della ricaduta apologetica del nuovo metodo critico si leggano queste righe che l’</w:t>
      </w:r>
      <w:proofErr w:type="spellStart"/>
      <w:r w:rsidRPr="00DD7B34">
        <w:t>abbé</w:t>
      </w:r>
      <w:proofErr w:type="spellEnd"/>
      <w:r w:rsidRPr="00DD7B34">
        <w:t xml:space="preserve"> Fremont scriveva a </w:t>
      </w:r>
      <w:proofErr w:type="spellStart"/>
      <w:r w:rsidRPr="00DD7B34">
        <w:t>Loisy</w:t>
      </w:r>
      <w:proofErr w:type="spellEnd"/>
      <w:r w:rsidRPr="00DD7B34">
        <w:t xml:space="preserve">: </w:t>
      </w:r>
      <w:r>
        <w:t>«</w:t>
      </w:r>
      <w:r w:rsidRPr="00DD7B34">
        <w:t xml:space="preserve">Cosa volete che </w:t>
      </w:r>
      <w:smartTag w:uri="urn:schemas-microsoft-com:office:smarttags" w:element="PersonName">
        <w:smartTagPr>
          <w:attr w:name="ProductID" w:val="la Chiesa"/>
        </w:smartTagPr>
        <w:r w:rsidRPr="00DD7B34">
          <w:t>la Chiesa</w:t>
        </w:r>
      </w:smartTag>
      <w:r w:rsidRPr="00DD7B34">
        <w:t xml:space="preserve"> invochi a titolo di motivi di credibilità dei dogmi che essa insegna, se lei per prima è impotente, come voi continuate a sostenere, a stabilire storicamente che il Cristo ha veramente affermato la sua personalità divina, che il Cristo è realmente risuscitato e che lui stesso l’ha istituita per guidare le anime al destino soprannaturale? Ancora una volta, poiché la rivelazione, come la vita fisica e intellettuale, ci è trasmessa per via di intermediari e non è comunicata direttamente da Dio, quali mezzi avremmo per conoscerla con certezza se i monumenti della storia non servono d’appoggio costante e necessario alla teologia?», </w:t>
      </w:r>
      <w:proofErr w:type="spellStart"/>
      <w:r w:rsidRPr="00DD7B34">
        <w:rPr>
          <w:i/>
        </w:rPr>
        <w:t>Lettres</w:t>
      </w:r>
      <w:proofErr w:type="spellEnd"/>
      <w:r w:rsidRPr="00DD7B34">
        <w:rPr>
          <w:i/>
        </w:rPr>
        <w:t xml:space="preserve"> de M. l’</w:t>
      </w:r>
      <w:proofErr w:type="spellStart"/>
      <w:r w:rsidRPr="00DD7B34">
        <w:rPr>
          <w:i/>
        </w:rPr>
        <w:t>abbé</w:t>
      </w:r>
      <w:proofErr w:type="spellEnd"/>
      <w:r w:rsidRPr="00DD7B34">
        <w:rPr>
          <w:i/>
        </w:rPr>
        <w:t xml:space="preserve"> G. Fremont à M. l’</w:t>
      </w:r>
      <w:proofErr w:type="spellStart"/>
      <w:r w:rsidRPr="00DD7B34">
        <w:rPr>
          <w:i/>
        </w:rPr>
        <w:t>abbé</w:t>
      </w:r>
      <w:proofErr w:type="spellEnd"/>
      <w:r w:rsidRPr="00DD7B34">
        <w:rPr>
          <w:i/>
        </w:rPr>
        <w:t xml:space="preserve"> Alfred </w:t>
      </w:r>
      <w:proofErr w:type="spellStart"/>
      <w:r w:rsidRPr="00DD7B34">
        <w:rPr>
          <w:i/>
        </w:rPr>
        <w:t>Loisy</w:t>
      </w:r>
      <w:proofErr w:type="spellEnd"/>
      <w:r>
        <w:t xml:space="preserve">, Paris, </w:t>
      </w:r>
      <w:proofErr w:type="spellStart"/>
      <w:r>
        <w:t>Bloud</w:t>
      </w:r>
      <w:proofErr w:type="spellEnd"/>
      <w:r w:rsidRPr="00DD7B34">
        <w:t xml:space="preserve"> 1904, 10, citato in </w:t>
      </w:r>
      <w:r w:rsidRPr="00DD7B34">
        <w:rPr>
          <w:smallCaps/>
        </w:rPr>
        <w:t>P. Colin</w:t>
      </w:r>
      <w:r w:rsidRPr="00DD7B34">
        <w:t xml:space="preserve">, </w:t>
      </w:r>
      <w:r w:rsidRPr="00DD7B34">
        <w:rPr>
          <w:i/>
        </w:rPr>
        <w:t xml:space="preserve">L’audace et le </w:t>
      </w:r>
      <w:proofErr w:type="spellStart"/>
      <w:r w:rsidRPr="00DD7B34">
        <w:rPr>
          <w:i/>
        </w:rPr>
        <w:t>supçon</w:t>
      </w:r>
      <w:proofErr w:type="spellEnd"/>
      <w:r w:rsidRPr="00DD7B34">
        <w:t>, 12.</w:t>
      </w:r>
    </w:p>
  </w:footnote>
  <w:footnote w:id="6">
    <w:p w:rsidR="002E3110" w:rsidRPr="00DD7B34" w:rsidRDefault="002E3110" w:rsidP="002E3110">
      <w:pPr>
        <w:pStyle w:val="Testonotaapidipagina"/>
        <w:jc w:val="both"/>
      </w:pPr>
      <w:r w:rsidRPr="00DD7B34">
        <w:rPr>
          <w:rStyle w:val="Rimandonotaapidipagina"/>
        </w:rPr>
        <w:footnoteRef/>
      </w:r>
      <w:r w:rsidRPr="00DD7B34">
        <w:t xml:space="preserve"> Per quanto segue abbiamo trovato estremamente utili le lucide pagine di </w:t>
      </w:r>
      <w:r w:rsidRPr="00DD7B34">
        <w:rPr>
          <w:smallCaps/>
        </w:rPr>
        <w:t>G. Forni Rosa</w:t>
      </w:r>
      <w:r w:rsidRPr="00DD7B34">
        <w:t xml:space="preserve">, </w:t>
      </w:r>
      <w:r w:rsidRPr="00DD7B34">
        <w:rPr>
          <w:i/>
        </w:rPr>
        <w:t>Il dibattito sul modernismo religioso</w:t>
      </w:r>
      <w:r>
        <w:t>, Editori Laterza, Roma-Bari</w:t>
      </w:r>
      <w:r w:rsidRPr="00DD7B34">
        <w:t xml:space="preserve"> 2000, 3-66.</w:t>
      </w:r>
    </w:p>
  </w:footnote>
  <w:footnote w:id="7">
    <w:p w:rsidR="002E3110" w:rsidRPr="00DD7B34" w:rsidRDefault="002E3110" w:rsidP="002E3110">
      <w:pPr>
        <w:pStyle w:val="Testonotaapidipagina"/>
        <w:jc w:val="both"/>
      </w:pPr>
      <w:r w:rsidRPr="00DD7B34">
        <w:rPr>
          <w:rStyle w:val="Rimandonotaapidipagina"/>
        </w:rPr>
        <w:footnoteRef/>
      </w:r>
      <w:r w:rsidRPr="00DD7B34">
        <w:t xml:space="preserve"> </w:t>
      </w:r>
      <w:r w:rsidRPr="00DD7B34">
        <w:rPr>
          <w:smallCaps/>
        </w:rPr>
        <w:t xml:space="preserve">A. </w:t>
      </w:r>
      <w:proofErr w:type="spellStart"/>
      <w:r w:rsidRPr="00DD7B34">
        <w:rPr>
          <w:smallCaps/>
        </w:rPr>
        <w:t>Loisy</w:t>
      </w:r>
      <w:proofErr w:type="spellEnd"/>
      <w:r w:rsidRPr="00DD7B34">
        <w:t xml:space="preserve">, </w:t>
      </w:r>
      <w:r w:rsidRPr="00DD7B34">
        <w:rPr>
          <w:i/>
        </w:rPr>
        <w:t>L’</w:t>
      </w:r>
      <w:proofErr w:type="spellStart"/>
      <w:r w:rsidRPr="00DD7B34">
        <w:rPr>
          <w:i/>
        </w:rPr>
        <w:t>Evangile</w:t>
      </w:r>
      <w:proofErr w:type="spellEnd"/>
      <w:r w:rsidRPr="00DD7B34">
        <w:rPr>
          <w:i/>
        </w:rPr>
        <w:t xml:space="preserve"> et l’</w:t>
      </w:r>
      <w:proofErr w:type="spellStart"/>
      <w:r w:rsidRPr="00DD7B34">
        <w:rPr>
          <w:i/>
        </w:rPr>
        <w:t>Eglise</w:t>
      </w:r>
      <w:proofErr w:type="spellEnd"/>
      <w:r>
        <w:t xml:space="preserve">, </w:t>
      </w:r>
      <w:proofErr w:type="spellStart"/>
      <w:r>
        <w:t>Editions</w:t>
      </w:r>
      <w:proofErr w:type="spellEnd"/>
      <w:r>
        <w:t xml:space="preserve"> Bellevue, Paris</w:t>
      </w:r>
      <w:r w:rsidRPr="00DD7B34">
        <w:t xml:space="preserve"> 1902, 206, citato in </w:t>
      </w:r>
      <w:r w:rsidRPr="00DD7B34">
        <w:rPr>
          <w:i/>
        </w:rPr>
        <w:t>Ivi</w:t>
      </w:r>
      <w:r w:rsidRPr="00DD7B34">
        <w:t>, 18.</w:t>
      </w:r>
    </w:p>
  </w:footnote>
  <w:footnote w:id="8">
    <w:p w:rsidR="002E3110" w:rsidRPr="00DD7B34" w:rsidRDefault="002E3110" w:rsidP="002E3110">
      <w:pPr>
        <w:pStyle w:val="Testonotaapidipagina"/>
        <w:jc w:val="both"/>
      </w:pPr>
      <w:r w:rsidRPr="00DD7B34">
        <w:rPr>
          <w:rStyle w:val="Rimandonotaapidipagina"/>
        </w:rPr>
        <w:footnoteRef/>
      </w:r>
      <w:r w:rsidRPr="00DD7B34">
        <w:t xml:space="preserve"> Una lucida e sintetica ricostruzione di questa comprensione della storia si può trovare in </w:t>
      </w:r>
      <w:r w:rsidRPr="00DD7B34">
        <w:rPr>
          <w:smallCaps/>
        </w:rPr>
        <w:t>G. Forni Rosa</w:t>
      </w:r>
      <w:r w:rsidRPr="00DD7B34">
        <w:t xml:space="preserve">, </w:t>
      </w:r>
      <w:r w:rsidRPr="00DD7B34">
        <w:rPr>
          <w:i/>
        </w:rPr>
        <w:t>Destino della religione. Il cristianesimo moderno fra scienza storica e filosofia della storia</w:t>
      </w:r>
      <w:r w:rsidRPr="00DD7B34">
        <w:t>, E</w:t>
      </w:r>
      <w:r>
        <w:t>ditrice Marietti, Genova-Milano</w:t>
      </w:r>
      <w:r w:rsidRPr="00DD7B34">
        <w:t xml:space="preserve"> 2005, 61-81. Interessante soprattutto l’analisi della definizione del metodo storico data da </w:t>
      </w:r>
      <w:proofErr w:type="spellStart"/>
      <w:r w:rsidRPr="00DD7B34">
        <w:t>Troeltsch</w:t>
      </w:r>
      <w:proofErr w:type="spellEnd"/>
      <w:r w:rsidRPr="00DD7B34">
        <w:t xml:space="preserve"> e la sua ripresa nella teoria delle personalità religiose di von </w:t>
      </w:r>
      <w:proofErr w:type="spellStart"/>
      <w:r w:rsidRPr="00DD7B34">
        <w:t>Harnack</w:t>
      </w:r>
      <w:proofErr w:type="spellEnd"/>
      <w:r w:rsidRPr="00DD7B34">
        <w:t>.</w:t>
      </w:r>
    </w:p>
  </w:footnote>
  <w:footnote w:id="9">
    <w:p w:rsidR="002E3110" w:rsidRPr="00DD7B34" w:rsidRDefault="002E3110" w:rsidP="002E3110">
      <w:pPr>
        <w:pStyle w:val="Testonotaapidipagina"/>
        <w:jc w:val="both"/>
      </w:pPr>
      <w:r w:rsidRPr="00DD7B34">
        <w:rPr>
          <w:rStyle w:val="Rimandonotaapidipagina"/>
        </w:rPr>
        <w:footnoteRef/>
      </w:r>
      <w:r w:rsidRPr="00DD7B34">
        <w:t xml:space="preserve"> </w:t>
      </w:r>
      <w:r w:rsidRPr="00DD7B34">
        <w:rPr>
          <w:smallCaps/>
        </w:rPr>
        <w:t>G. Forni Rosa</w:t>
      </w:r>
      <w:r w:rsidRPr="00DD7B34">
        <w:t xml:space="preserve">, </w:t>
      </w:r>
      <w:r w:rsidRPr="00DD7B34">
        <w:rPr>
          <w:i/>
        </w:rPr>
        <w:t>Il dibattito sul modernismo religioso</w:t>
      </w:r>
      <w:r w:rsidRPr="00DD7B34">
        <w:t xml:space="preserve">, 36, ove sta presentando il pensiero di A. </w:t>
      </w:r>
      <w:proofErr w:type="spellStart"/>
      <w:r w:rsidRPr="00DD7B34">
        <w:t>Sabatier</w:t>
      </w:r>
      <w:proofErr w:type="spellEnd"/>
      <w:r w:rsidRPr="00DD7B34">
        <w:t xml:space="preserve">. Ma la tesi si applica altrettanto bene alla posizione di </w:t>
      </w:r>
      <w:proofErr w:type="spellStart"/>
      <w:r w:rsidRPr="00DD7B34">
        <w:t>Harnack</w:t>
      </w:r>
      <w:proofErr w:type="spellEnd"/>
      <w:r w:rsidRPr="00DD7B34">
        <w:t>.</w:t>
      </w:r>
    </w:p>
  </w:footnote>
  <w:footnote w:id="10">
    <w:p w:rsidR="002E3110" w:rsidRPr="00DD7B34" w:rsidRDefault="002E3110" w:rsidP="002E3110">
      <w:pPr>
        <w:pStyle w:val="Testonotaapidipagina"/>
        <w:jc w:val="both"/>
      </w:pPr>
      <w:r w:rsidRPr="00DD7B34">
        <w:rPr>
          <w:rStyle w:val="Rimandonotaapidipagina"/>
        </w:rPr>
        <w:footnoteRef/>
      </w:r>
      <w:r w:rsidRPr="00DD7B34">
        <w:t xml:space="preserve"> </w:t>
      </w:r>
      <w:r w:rsidRPr="00DD7B34">
        <w:rPr>
          <w:i/>
        </w:rPr>
        <w:t>Ivi</w:t>
      </w:r>
      <w:r w:rsidRPr="00DD7B34">
        <w:t>, 37-38.</w:t>
      </w:r>
    </w:p>
  </w:footnote>
  <w:footnote w:id="11">
    <w:p w:rsidR="002E3110" w:rsidRPr="00DD7B34" w:rsidRDefault="002E3110" w:rsidP="002E3110">
      <w:pPr>
        <w:pStyle w:val="Testonotaapidipagina"/>
        <w:jc w:val="both"/>
      </w:pPr>
      <w:r w:rsidRPr="00DD7B34">
        <w:rPr>
          <w:rStyle w:val="Rimandonotaapidipagina"/>
        </w:rPr>
        <w:footnoteRef/>
      </w:r>
      <w:r w:rsidRPr="00DD7B34">
        <w:t xml:space="preserve"> Valga a documentazione di quest’affermazione la testimonianza di padre Lagrange: «Il modernismo è… tutta opera di </w:t>
      </w:r>
      <w:proofErr w:type="spellStart"/>
      <w:r w:rsidRPr="00DD7B34">
        <w:t>Loisy</w:t>
      </w:r>
      <w:proofErr w:type="spellEnd"/>
      <w:r w:rsidRPr="00DD7B34">
        <w:t xml:space="preserve">», in </w:t>
      </w:r>
      <w:r w:rsidRPr="00DD7B34">
        <w:rPr>
          <w:smallCaps/>
        </w:rPr>
        <w:t>J.M. Lagrange</w:t>
      </w:r>
      <w:r w:rsidRPr="00DD7B34">
        <w:t xml:space="preserve">, </w:t>
      </w:r>
      <w:r w:rsidRPr="00DD7B34">
        <w:rPr>
          <w:i/>
        </w:rPr>
        <w:t xml:space="preserve">M. </w:t>
      </w:r>
      <w:proofErr w:type="spellStart"/>
      <w:r w:rsidRPr="00DD7B34">
        <w:rPr>
          <w:i/>
        </w:rPr>
        <w:t>Loisy</w:t>
      </w:r>
      <w:proofErr w:type="spellEnd"/>
      <w:r w:rsidRPr="00DD7B34">
        <w:rPr>
          <w:i/>
        </w:rPr>
        <w:t xml:space="preserve"> et le </w:t>
      </w:r>
      <w:proofErr w:type="spellStart"/>
      <w:r w:rsidRPr="00DD7B34">
        <w:rPr>
          <w:i/>
        </w:rPr>
        <w:t>modernisme</w:t>
      </w:r>
      <w:proofErr w:type="spellEnd"/>
      <w:r w:rsidRPr="00DD7B34">
        <w:rPr>
          <w:i/>
        </w:rPr>
        <w:t xml:space="preserve">. A </w:t>
      </w:r>
      <w:proofErr w:type="spellStart"/>
      <w:r w:rsidRPr="00DD7B34">
        <w:rPr>
          <w:i/>
        </w:rPr>
        <w:t>propos</w:t>
      </w:r>
      <w:proofErr w:type="spellEnd"/>
      <w:r w:rsidRPr="00DD7B34">
        <w:rPr>
          <w:i/>
        </w:rPr>
        <w:t xml:space="preserve"> </w:t>
      </w:r>
      <w:proofErr w:type="spellStart"/>
      <w:r w:rsidRPr="00DD7B34">
        <w:rPr>
          <w:i/>
        </w:rPr>
        <w:t>des</w:t>
      </w:r>
      <w:proofErr w:type="spellEnd"/>
      <w:r w:rsidRPr="00DD7B34">
        <w:rPr>
          <w:i/>
        </w:rPr>
        <w:t xml:space="preserve"> </w:t>
      </w:r>
      <w:proofErr w:type="spellStart"/>
      <w:r w:rsidRPr="00DD7B34">
        <w:rPr>
          <w:i/>
        </w:rPr>
        <w:t>Mémoires</w:t>
      </w:r>
      <w:proofErr w:type="spellEnd"/>
      <w:r>
        <w:t xml:space="preserve">, </w:t>
      </w:r>
      <w:proofErr w:type="spellStart"/>
      <w:r>
        <w:t>Juvisy</w:t>
      </w:r>
      <w:proofErr w:type="spellEnd"/>
      <w:r>
        <w:t>, Paris</w:t>
      </w:r>
      <w:r w:rsidRPr="00DD7B34">
        <w:t xml:space="preserve"> 1932, 37, citato in </w:t>
      </w:r>
      <w:r w:rsidRPr="00DD7B34">
        <w:rPr>
          <w:smallCaps/>
        </w:rPr>
        <w:t>A. Milano</w:t>
      </w:r>
      <w:r w:rsidRPr="00DD7B34">
        <w:t xml:space="preserve">, </w:t>
      </w:r>
      <w:r w:rsidRPr="00DD7B34">
        <w:rPr>
          <w:i/>
        </w:rPr>
        <w:t>L’età del modernismo</w:t>
      </w:r>
      <w:r w:rsidRPr="00DD7B34">
        <w:t xml:space="preserve">, in </w:t>
      </w:r>
      <w:r w:rsidRPr="00DD7B34">
        <w:rPr>
          <w:smallCaps/>
        </w:rPr>
        <w:t>R. Fisichella</w:t>
      </w:r>
      <w:r w:rsidRPr="00DD7B34">
        <w:t xml:space="preserve"> (ed), </w:t>
      </w:r>
      <w:r w:rsidRPr="00DD7B34">
        <w:rPr>
          <w:i/>
        </w:rPr>
        <w:t xml:space="preserve">Storia della Teologia. Da Vitus </w:t>
      </w:r>
      <w:proofErr w:type="spellStart"/>
      <w:r w:rsidRPr="00DD7B34">
        <w:rPr>
          <w:i/>
        </w:rPr>
        <w:t>Pichler</w:t>
      </w:r>
      <w:proofErr w:type="spellEnd"/>
      <w:r w:rsidRPr="00DD7B34">
        <w:rPr>
          <w:i/>
        </w:rPr>
        <w:t xml:space="preserve"> a Henri de </w:t>
      </w:r>
      <w:proofErr w:type="spellStart"/>
      <w:r w:rsidRPr="00DD7B34">
        <w:rPr>
          <w:i/>
        </w:rPr>
        <w:t>Lubac</w:t>
      </w:r>
      <w:proofErr w:type="spellEnd"/>
      <w:r w:rsidRPr="00DD7B34">
        <w:t xml:space="preserve">, EDB, Bologna-Roma 1996, </w:t>
      </w:r>
      <w:proofErr w:type="spellStart"/>
      <w:r w:rsidRPr="00DD7B34">
        <w:t>vol</w:t>
      </w:r>
      <w:proofErr w:type="spellEnd"/>
      <w:r w:rsidRPr="00DD7B34">
        <w:t xml:space="preserve"> III, 342. </w:t>
      </w:r>
    </w:p>
  </w:footnote>
  <w:footnote w:id="12">
    <w:p w:rsidR="002E3110" w:rsidRPr="00DD7B34" w:rsidRDefault="002E3110" w:rsidP="002E3110">
      <w:pPr>
        <w:pStyle w:val="Testonotaapidipagina"/>
        <w:jc w:val="both"/>
      </w:pPr>
      <w:r w:rsidRPr="00DD7B34">
        <w:rPr>
          <w:rStyle w:val="Rimandonotaapidipagina"/>
        </w:rPr>
        <w:footnoteRef/>
      </w:r>
      <w:r w:rsidRPr="00DD7B34">
        <w:t xml:space="preserve"> Una buona sintesi della critica di </w:t>
      </w:r>
      <w:proofErr w:type="spellStart"/>
      <w:r w:rsidRPr="00DD7B34">
        <w:t>Loisy</w:t>
      </w:r>
      <w:proofErr w:type="spellEnd"/>
      <w:r w:rsidRPr="00DD7B34">
        <w:t xml:space="preserve"> ad </w:t>
      </w:r>
      <w:proofErr w:type="spellStart"/>
      <w:r w:rsidRPr="00DD7B34">
        <w:t>Harnack</w:t>
      </w:r>
      <w:proofErr w:type="spellEnd"/>
      <w:r w:rsidRPr="00DD7B34">
        <w:t xml:space="preserve"> si trova </w:t>
      </w:r>
      <w:r w:rsidRPr="00DD7B34">
        <w:rPr>
          <w:smallCaps/>
        </w:rPr>
        <w:t>P. Colin</w:t>
      </w:r>
      <w:r w:rsidRPr="00DD7B34">
        <w:t xml:space="preserve">, </w:t>
      </w:r>
      <w:r w:rsidRPr="00DD7B34">
        <w:rPr>
          <w:i/>
        </w:rPr>
        <w:t xml:space="preserve">L’audace et le </w:t>
      </w:r>
      <w:proofErr w:type="spellStart"/>
      <w:r w:rsidRPr="00DD7B34">
        <w:rPr>
          <w:i/>
        </w:rPr>
        <w:t>supçon</w:t>
      </w:r>
      <w:proofErr w:type="spellEnd"/>
      <w:r w:rsidRPr="00DD7B34">
        <w:t xml:space="preserve">, 151-163. Si vedano anche </w:t>
      </w:r>
      <w:r w:rsidRPr="00DD7B34">
        <w:rPr>
          <w:smallCaps/>
        </w:rPr>
        <w:t>A. Milano</w:t>
      </w:r>
      <w:r w:rsidRPr="00DD7B34">
        <w:t xml:space="preserve">, </w:t>
      </w:r>
      <w:r w:rsidRPr="00DD7B34">
        <w:rPr>
          <w:i/>
        </w:rPr>
        <w:t>L’età del modernismo</w:t>
      </w:r>
      <w:r w:rsidRPr="00DD7B34">
        <w:t xml:space="preserve">, in </w:t>
      </w:r>
      <w:r w:rsidRPr="00DD7B34">
        <w:rPr>
          <w:smallCaps/>
        </w:rPr>
        <w:t>R. Fisichella</w:t>
      </w:r>
      <w:r w:rsidRPr="00DD7B34">
        <w:t xml:space="preserve"> (ed), </w:t>
      </w:r>
      <w:r w:rsidRPr="00DD7B34">
        <w:rPr>
          <w:i/>
        </w:rPr>
        <w:t xml:space="preserve">Storia della Teologia. Da Vitus </w:t>
      </w:r>
      <w:proofErr w:type="spellStart"/>
      <w:r w:rsidRPr="00DD7B34">
        <w:rPr>
          <w:i/>
        </w:rPr>
        <w:t>Pichler</w:t>
      </w:r>
      <w:proofErr w:type="spellEnd"/>
      <w:r w:rsidRPr="00DD7B34">
        <w:rPr>
          <w:i/>
        </w:rPr>
        <w:t xml:space="preserve"> a Henri de </w:t>
      </w:r>
      <w:proofErr w:type="spellStart"/>
      <w:r w:rsidRPr="00DD7B34">
        <w:rPr>
          <w:i/>
        </w:rPr>
        <w:t>Lubac</w:t>
      </w:r>
      <w:proofErr w:type="spellEnd"/>
      <w:r w:rsidRPr="00DD7B34">
        <w:t xml:space="preserve">, 341-350; </w:t>
      </w:r>
      <w:r w:rsidRPr="00DD7B34">
        <w:rPr>
          <w:smallCaps/>
        </w:rPr>
        <w:t>M. Guasco</w:t>
      </w:r>
      <w:r w:rsidRPr="00DD7B34">
        <w:t xml:space="preserve">, </w:t>
      </w:r>
      <w:r w:rsidRPr="00DD7B34">
        <w:rPr>
          <w:i/>
        </w:rPr>
        <w:t>Il modernismo</w:t>
      </w:r>
      <w:r w:rsidRPr="00DD7B34">
        <w:t>, San Paolo, Cinisello B</w:t>
      </w:r>
      <w:r>
        <w:t>alsamo</w:t>
      </w:r>
      <w:r w:rsidRPr="00DD7B34">
        <w:t xml:space="preserve"> 1995, 71-79. Noi seguiamo da vicino </w:t>
      </w:r>
      <w:r w:rsidRPr="00DD7B34">
        <w:rPr>
          <w:smallCaps/>
        </w:rPr>
        <w:t>G. Forni Rosa</w:t>
      </w:r>
      <w:r w:rsidRPr="00DD7B34">
        <w:t xml:space="preserve">, </w:t>
      </w:r>
      <w:r w:rsidRPr="00DD7B34">
        <w:rPr>
          <w:i/>
        </w:rPr>
        <w:t>Il dibattito sul modernismo religioso</w:t>
      </w:r>
      <w:r w:rsidRPr="00DD7B34">
        <w:t>, 16-19.74-81.</w:t>
      </w:r>
    </w:p>
  </w:footnote>
  <w:footnote w:id="13">
    <w:p w:rsidR="002E3110" w:rsidRPr="00DD7B34" w:rsidRDefault="002E3110" w:rsidP="002E3110">
      <w:pPr>
        <w:pStyle w:val="Testonotaapidipagina"/>
        <w:jc w:val="both"/>
      </w:pPr>
      <w:r w:rsidRPr="00DD7B34">
        <w:rPr>
          <w:rStyle w:val="Rimandonotaapidipagina"/>
        </w:rPr>
        <w:footnoteRef/>
      </w:r>
      <w:r w:rsidRPr="00DD7B34">
        <w:t xml:space="preserve"> </w:t>
      </w:r>
      <w:r w:rsidRPr="00DD7B34">
        <w:rPr>
          <w:smallCaps/>
        </w:rPr>
        <w:t>G. Forni Rosa</w:t>
      </w:r>
      <w:r w:rsidRPr="00DD7B34">
        <w:t xml:space="preserve">, </w:t>
      </w:r>
      <w:r w:rsidRPr="00DD7B34">
        <w:rPr>
          <w:i/>
        </w:rPr>
        <w:t>Il dibattito sul modernismo religioso</w:t>
      </w:r>
      <w:r w:rsidRPr="00DD7B34">
        <w:t xml:space="preserve">, 48-49, ove viene ripreso l’intervento di </w:t>
      </w:r>
      <w:r w:rsidRPr="00DD7B34">
        <w:rPr>
          <w:smallCaps/>
        </w:rPr>
        <w:t>Idem</w:t>
      </w:r>
      <w:r w:rsidRPr="00DD7B34">
        <w:t xml:space="preserve">, </w:t>
      </w:r>
      <w:r w:rsidRPr="00DD7B34">
        <w:rPr>
          <w:i/>
        </w:rPr>
        <w:t xml:space="preserve">Il problema di un’apologetica storica fra </w:t>
      </w:r>
      <w:proofErr w:type="spellStart"/>
      <w:r w:rsidRPr="00DD7B34">
        <w:rPr>
          <w:i/>
        </w:rPr>
        <w:t>Loisy</w:t>
      </w:r>
      <w:proofErr w:type="spellEnd"/>
      <w:r w:rsidRPr="00DD7B34">
        <w:rPr>
          <w:i/>
        </w:rPr>
        <w:t xml:space="preserve"> e </w:t>
      </w:r>
      <w:proofErr w:type="spellStart"/>
      <w:r w:rsidRPr="00DD7B34">
        <w:rPr>
          <w:i/>
        </w:rPr>
        <w:t>Blondel</w:t>
      </w:r>
      <w:proofErr w:type="spellEnd"/>
      <w:r w:rsidRPr="00DD7B34">
        <w:t xml:space="preserve">, in </w:t>
      </w:r>
      <w:r w:rsidRPr="00DD7B34">
        <w:rPr>
          <w:smallCaps/>
        </w:rPr>
        <w:t xml:space="preserve">A. Botti – R. </w:t>
      </w:r>
      <w:proofErr w:type="spellStart"/>
      <w:r w:rsidRPr="00DD7B34">
        <w:rPr>
          <w:smallCaps/>
        </w:rPr>
        <w:t>Cerrato</w:t>
      </w:r>
      <w:proofErr w:type="spellEnd"/>
      <w:r w:rsidRPr="00DD7B34">
        <w:t xml:space="preserve"> (ed), </w:t>
      </w:r>
      <w:r w:rsidRPr="00DD7B34">
        <w:rPr>
          <w:i/>
        </w:rPr>
        <w:t>Il modernismo tra cristianità e secolarizzazione</w:t>
      </w:r>
      <w:r w:rsidRPr="00DD7B34">
        <w:t>, Edizioni Quattro Venti, Urbino 2000</w:t>
      </w:r>
      <w:r>
        <w:t xml:space="preserve">, </w:t>
      </w:r>
      <w:r w:rsidRPr="00DD7B34">
        <w:t>231-240.</w:t>
      </w:r>
    </w:p>
  </w:footnote>
  <w:footnote w:id="14">
    <w:p w:rsidR="002E3110" w:rsidRPr="00DD7B34" w:rsidRDefault="002E3110" w:rsidP="002E3110">
      <w:pPr>
        <w:pStyle w:val="Testonotaapidipagina"/>
        <w:jc w:val="both"/>
      </w:pPr>
      <w:r w:rsidRPr="00DD7B34">
        <w:rPr>
          <w:rStyle w:val="Rimandonotaapidipagina"/>
        </w:rPr>
        <w:footnoteRef/>
      </w:r>
      <w:r w:rsidRPr="00DD7B34">
        <w:t xml:space="preserve"> </w:t>
      </w:r>
      <w:proofErr w:type="spellStart"/>
      <w:r w:rsidRPr="00DD7B34">
        <w:t>Laberthonnière</w:t>
      </w:r>
      <w:proofErr w:type="spellEnd"/>
      <w:r w:rsidRPr="00DD7B34">
        <w:t xml:space="preserve"> fu molto provocato dalle opere di </w:t>
      </w:r>
      <w:proofErr w:type="spellStart"/>
      <w:r w:rsidRPr="00DD7B34">
        <w:t>Loisy</w:t>
      </w:r>
      <w:proofErr w:type="spellEnd"/>
      <w:r w:rsidRPr="00DD7B34">
        <w:t xml:space="preserve">, che discusse molto nelle lettere a M. </w:t>
      </w:r>
      <w:proofErr w:type="spellStart"/>
      <w:r w:rsidRPr="00DD7B34">
        <w:t>Blondel</w:t>
      </w:r>
      <w:proofErr w:type="spellEnd"/>
      <w:r w:rsidRPr="00DD7B34">
        <w:t xml:space="preserve">. La sua critica è diretta più alla deriva «storicista» di altri ricercatori del tempo, che facevano apparire </w:t>
      </w:r>
      <w:proofErr w:type="spellStart"/>
      <w:r w:rsidRPr="00DD7B34">
        <w:t>Loisy</w:t>
      </w:r>
      <w:proofErr w:type="spellEnd"/>
      <w:r w:rsidRPr="00DD7B34">
        <w:t xml:space="preserve"> come un moderato: si veda </w:t>
      </w:r>
      <w:proofErr w:type="spellStart"/>
      <w:r w:rsidRPr="00DD7B34">
        <w:rPr>
          <w:i/>
        </w:rPr>
        <w:t>Les</w:t>
      </w:r>
      <w:proofErr w:type="spellEnd"/>
      <w:r w:rsidRPr="00DD7B34">
        <w:rPr>
          <w:i/>
        </w:rPr>
        <w:t xml:space="preserve"> </w:t>
      </w:r>
      <w:proofErr w:type="spellStart"/>
      <w:r w:rsidRPr="00DD7B34">
        <w:rPr>
          <w:i/>
        </w:rPr>
        <w:t>études</w:t>
      </w:r>
      <w:proofErr w:type="spellEnd"/>
      <w:r w:rsidRPr="00DD7B34">
        <w:rPr>
          <w:i/>
        </w:rPr>
        <w:t xml:space="preserve"> </w:t>
      </w:r>
      <w:proofErr w:type="spellStart"/>
      <w:r w:rsidRPr="00DD7B34">
        <w:rPr>
          <w:i/>
        </w:rPr>
        <w:t>historiques</w:t>
      </w:r>
      <w:proofErr w:type="spellEnd"/>
      <w:r w:rsidRPr="00DD7B34">
        <w:rPr>
          <w:i/>
        </w:rPr>
        <w:t xml:space="preserve"> et l’</w:t>
      </w:r>
      <w:proofErr w:type="spellStart"/>
      <w:r w:rsidRPr="00DD7B34">
        <w:rPr>
          <w:i/>
        </w:rPr>
        <w:t>apologétique</w:t>
      </w:r>
      <w:proofErr w:type="spellEnd"/>
      <w:r w:rsidRPr="00DD7B34">
        <w:t xml:space="preserve">, in </w:t>
      </w:r>
      <w:r>
        <w:t>«</w:t>
      </w:r>
      <w:r w:rsidRPr="00772E6E">
        <w:t xml:space="preserve">Annales de </w:t>
      </w:r>
      <w:proofErr w:type="spellStart"/>
      <w:r w:rsidRPr="00772E6E">
        <w:t>Philosophie</w:t>
      </w:r>
      <w:proofErr w:type="spellEnd"/>
      <w:r w:rsidRPr="00772E6E">
        <w:t xml:space="preserve"> </w:t>
      </w:r>
      <w:proofErr w:type="spellStart"/>
      <w:r w:rsidRPr="00772E6E">
        <w:t>Ch</w:t>
      </w:r>
      <w:r w:rsidR="009B13FB">
        <w:t>r</w:t>
      </w:r>
      <w:r w:rsidRPr="00772E6E">
        <w:t>étienne</w:t>
      </w:r>
      <w:proofErr w:type="spellEnd"/>
      <w:r>
        <w:t>»</w:t>
      </w:r>
      <w:r w:rsidRPr="00DD7B34">
        <w:t xml:space="preserve"> 145 (1903) 366-380.</w:t>
      </w:r>
    </w:p>
  </w:footnote>
  <w:footnote w:id="15">
    <w:p w:rsidR="002E3110" w:rsidRPr="00A71CF5" w:rsidRDefault="002E3110" w:rsidP="002E3110">
      <w:pPr>
        <w:pStyle w:val="Testonotaapidipagina"/>
        <w:jc w:val="both"/>
      </w:pPr>
      <w:r w:rsidRPr="00A71CF5">
        <w:rPr>
          <w:rStyle w:val="Rimandonotaapidipagina"/>
        </w:rPr>
        <w:footnoteRef/>
      </w:r>
      <w:r w:rsidRPr="00A71CF5">
        <w:t xml:space="preserve"> </w:t>
      </w:r>
      <w:r>
        <w:t>«</w:t>
      </w:r>
      <w:r w:rsidRPr="00A71CF5">
        <w:t>Non è storicamente che va posto il problema religioso; è vitalmente. E di conseguenza è in modo vitale e non scientifica che andrà risolto. È solo vivendo e non semplicemente facendo della storia o della critica che si può accogliere la verità di Cristo</w:t>
      </w:r>
      <w:r>
        <w:t>»</w:t>
      </w:r>
      <w:r>
        <w:rPr>
          <w:sz w:val="22"/>
        </w:rPr>
        <w:t xml:space="preserve">, </w:t>
      </w:r>
      <w:proofErr w:type="spellStart"/>
      <w:r w:rsidRPr="00A71CF5">
        <w:rPr>
          <w:i/>
        </w:rPr>
        <w:t>Réalisme</w:t>
      </w:r>
      <w:proofErr w:type="spellEnd"/>
      <w:r w:rsidRPr="00A71CF5">
        <w:rPr>
          <w:i/>
        </w:rPr>
        <w:t xml:space="preserve"> </w:t>
      </w:r>
      <w:proofErr w:type="spellStart"/>
      <w:r w:rsidRPr="00A71CF5">
        <w:rPr>
          <w:i/>
        </w:rPr>
        <w:t>chrétien</w:t>
      </w:r>
      <w:proofErr w:type="spellEnd"/>
      <w:r w:rsidRPr="00A71CF5">
        <w:rPr>
          <w:i/>
        </w:rPr>
        <w:t xml:space="preserve"> et </w:t>
      </w:r>
      <w:proofErr w:type="spellStart"/>
      <w:r w:rsidRPr="00A71CF5">
        <w:rPr>
          <w:i/>
        </w:rPr>
        <w:t>idéalisme</w:t>
      </w:r>
      <w:proofErr w:type="spellEnd"/>
      <w:r w:rsidRPr="00A71CF5">
        <w:rPr>
          <w:i/>
        </w:rPr>
        <w:t xml:space="preserve"> </w:t>
      </w:r>
      <w:proofErr w:type="spellStart"/>
      <w:r w:rsidRPr="00A71CF5">
        <w:rPr>
          <w:i/>
        </w:rPr>
        <w:t>grec</w:t>
      </w:r>
      <w:proofErr w:type="spellEnd"/>
      <w:r w:rsidRPr="00A71CF5">
        <w:t xml:space="preserve">, </w:t>
      </w:r>
      <w:proofErr w:type="spellStart"/>
      <w:r>
        <w:t>Lethielleux</w:t>
      </w:r>
      <w:proofErr w:type="spellEnd"/>
      <w:r>
        <w:t xml:space="preserve">, </w:t>
      </w:r>
      <w:r w:rsidRPr="00A71CF5">
        <w:t>Paris 1904, 157</w:t>
      </w:r>
      <w:r>
        <w:t xml:space="preserve"> (traduzione nostra)</w:t>
      </w:r>
      <w:r w:rsidRPr="00A71CF5">
        <w:t>.</w:t>
      </w:r>
    </w:p>
  </w:footnote>
  <w:footnote w:id="16">
    <w:p w:rsidR="002E3110" w:rsidRPr="00DD7B34" w:rsidRDefault="002E3110" w:rsidP="002E3110">
      <w:pPr>
        <w:pStyle w:val="Testonotaapidipagina"/>
        <w:jc w:val="both"/>
      </w:pPr>
      <w:r w:rsidRPr="00DD7B34">
        <w:rPr>
          <w:rStyle w:val="Rimandonotaapidipagina"/>
        </w:rPr>
        <w:footnoteRef/>
      </w:r>
      <w:r w:rsidRPr="00DD7B34">
        <w:t xml:space="preserve"> </w:t>
      </w:r>
      <w:r w:rsidRPr="00DD7B34">
        <w:rPr>
          <w:i/>
        </w:rPr>
        <w:t>Ivi</w:t>
      </w:r>
      <w:r w:rsidRPr="00DD7B34">
        <w:t>, 163.</w:t>
      </w:r>
    </w:p>
  </w:footnote>
  <w:footnote w:id="17">
    <w:p w:rsidR="002E3110" w:rsidRPr="00DD7B34" w:rsidRDefault="002E3110" w:rsidP="002E3110">
      <w:pPr>
        <w:pStyle w:val="Testonotaapidipagina"/>
        <w:jc w:val="both"/>
      </w:pPr>
      <w:r w:rsidRPr="00DD7B34">
        <w:rPr>
          <w:rStyle w:val="Rimandonotaapidipagina"/>
        </w:rPr>
        <w:footnoteRef/>
      </w:r>
      <w:r w:rsidRPr="00DD7B34">
        <w:t xml:space="preserve"> </w:t>
      </w:r>
      <w:r w:rsidRPr="00DD7B34">
        <w:rPr>
          <w:i/>
        </w:rPr>
        <w:t>Ivi</w:t>
      </w:r>
      <w:r w:rsidRPr="00DD7B34">
        <w:t>, 163-164.</w:t>
      </w:r>
    </w:p>
  </w:footnote>
  <w:footnote w:id="18">
    <w:p w:rsidR="002E3110" w:rsidRPr="00DD7B34" w:rsidRDefault="002E3110" w:rsidP="002E3110">
      <w:pPr>
        <w:pStyle w:val="Testonotaapidipagina"/>
        <w:jc w:val="both"/>
      </w:pPr>
      <w:r w:rsidRPr="00DD7B34">
        <w:rPr>
          <w:rStyle w:val="Rimandonotaapidipagina"/>
        </w:rPr>
        <w:footnoteRef/>
      </w:r>
      <w:r w:rsidRPr="00DD7B34">
        <w:t xml:space="preserve"> Merita una segnalazione la reazione indispettita di </w:t>
      </w:r>
      <w:proofErr w:type="spellStart"/>
      <w:r w:rsidRPr="00DD7B34">
        <w:t>Loisy</w:t>
      </w:r>
      <w:proofErr w:type="spellEnd"/>
      <w:r w:rsidRPr="00DD7B34">
        <w:t xml:space="preserve"> a queste critiche, in cui si intuisce lo scambio di sospetti e di accuse: «</w:t>
      </w:r>
      <w:proofErr w:type="spellStart"/>
      <w:r w:rsidRPr="00DD7B34">
        <w:t>Ces</w:t>
      </w:r>
      <w:proofErr w:type="spellEnd"/>
      <w:r w:rsidRPr="00DD7B34">
        <w:t xml:space="preserve"> gens là (</w:t>
      </w:r>
      <w:proofErr w:type="spellStart"/>
      <w:r w:rsidRPr="00DD7B34">
        <w:t>Blondel</w:t>
      </w:r>
      <w:proofErr w:type="spellEnd"/>
      <w:r w:rsidRPr="00DD7B34">
        <w:t xml:space="preserve"> et </w:t>
      </w:r>
      <w:proofErr w:type="spellStart"/>
      <w:r w:rsidRPr="00DD7B34">
        <w:t>Laberthonnière</w:t>
      </w:r>
      <w:proofErr w:type="spellEnd"/>
      <w:r w:rsidRPr="00DD7B34">
        <w:t xml:space="preserve">) </w:t>
      </w:r>
      <w:proofErr w:type="spellStart"/>
      <w:r w:rsidRPr="00DD7B34">
        <w:t>croient</w:t>
      </w:r>
      <w:proofErr w:type="spellEnd"/>
      <w:r w:rsidRPr="00DD7B34">
        <w:t xml:space="preserve"> à </w:t>
      </w:r>
      <w:proofErr w:type="spellStart"/>
      <w:r w:rsidRPr="00DD7B34">
        <w:t>tuos</w:t>
      </w:r>
      <w:proofErr w:type="spellEnd"/>
      <w:r w:rsidRPr="00DD7B34">
        <w:t xml:space="preserve"> le </w:t>
      </w:r>
      <w:proofErr w:type="spellStart"/>
      <w:r w:rsidRPr="00DD7B34">
        <w:t>dogmes</w:t>
      </w:r>
      <w:proofErr w:type="spellEnd"/>
      <w:r w:rsidRPr="00DD7B34">
        <w:t xml:space="preserve"> de l’</w:t>
      </w:r>
      <w:proofErr w:type="spellStart"/>
      <w:r w:rsidRPr="00DD7B34">
        <w:t>Eglise</w:t>
      </w:r>
      <w:proofErr w:type="spellEnd"/>
      <w:r w:rsidRPr="00DD7B34">
        <w:t xml:space="preserve">, mais </w:t>
      </w:r>
      <w:proofErr w:type="spellStart"/>
      <w:r w:rsidRPr="00DD7B34">
        <w:t>ils</w:t>
      </w:r>
      <w:proofErr w:type="spellEnd"/>
      <w:r w:rsidRPr="00DD7B34">
        <w:t xml:space="preserve"> </w:t>
      </w:r>
      <w:proofErr w:type="spellStart"/>
      <w:r w:rsidRPr="00DD7B34">
        <w:t>n’y</w:t>
      </w:r>
      <w:proofErr w:type="spellEnd"/>
      <w:r w:rsidRPr="00DD7B34">
        <w:t xml:space="preserve"> </w:t>
      </w:r>
      <w:proofErr w:type="spellStart"/>
      <w:r w:rsidRPr="00DD7B34">
        <w:t>croient</w:t>
      </w:r>
      <w:proofErr w:type="spellEnd"/>
      <w:r w:rsidRPr="00DD7B34">
        <w:t xml:space="preserve"> </w:t>
      </w:r>
      <w:proofErr w:type="spellStart"/>
      <w:r w:rsidRPr="00DD7B34">
        <w:t>pas</w:t>
      </w:r>
      <w:proofErr w:type="spellEnd"/>
      <w:r w:rsidRPr="00DD7B34">
        <w:t xml:space="preserve"> </w:t>
      </w:r>
      <w:proofErr w:type="spellStart"/>
      <w:r w:rsidRPr="00DD7B34">
        <w:t>encore</w:t>
      </w:r>
      <w:proofErr w:type="spellEnd"/>
      <w:r w:rsidRPr="00DD7B34">
        <w:t xml:space="preserve"> </w:t>
      </w:r>
      <w:proofErr w:type="spellStart"/>
      <w:r w:rsidRPr="00DD7B34">
        <w:t>comme</w:t>
      </w:r>
      <w:proofErr w:type="spellEnd"/>
      <w:r w:rsidRPr="00DD7B34">
        <w:t xml:space="preserve"> il </w:t>
      </w:r>
      <w:proofErr w:type="spellStart"/>
      <w:r w:rsidRPr="00DD7B34">
        <w:t>faut</w:t>
      </w:r>
      <w:proofErr w:type="spellEnd"/>
      <w:r w:rsidRPr="00DD7B34">
        <w:t>, d’</w:t>
      </w:r>
      <w:proofErr w:type="spellStart"/>
      <w:r w:rsidRPr="00DD7B34">
        <w:t>après</w:t>
      </w:r>
      <w:proofErr w:type="spellEnd"/>
      <w:r w:rsidRPr="00DD7B34">
        <w:t xml:space="preserve"> une </w:t>
      </w:r>
      <w:proofErr w:type="spellStart"/>
      <w:r w:rsidRPr="00DD7B34">
        <w:t>révélation</w:t>
      </w:r>
      <w:proofErr w:type="spellEnd"/>
      <w:r w:rsidRPr="00DD7B34">
        <w:t xml:space="preserve"> </w:t>
      </w:r>
      <w:proofErr w:type="spellStart"/>
      <w:r w:rsidRPr="00DD7B34">
        <w:t>objective</w:t>
      </w:r>
      <w:proofErr w:type="spellEnd"/>
      <w:r w:rsidRPr="00DD7B34">
        <w:t xml:space="preserve"> et </w:t>
      </w:r>
      <w:proofErr w:type="spellStart"/>
      <w:r w:rsidRPr="00DD7B34">
        <w:t>sur</w:t>
      </w:r>
      <w:proofErr w:type="spellEnd"/>
      <w:r w:rsidRPr="00DD7B34">
        <w:t xml:space="preserve"> le </w:t>
      </w:r>
      <w:proofErr w:type="spellStart"/>
      <w:r w:rsidRPr="00DD7B34">
        <w:t>témoignage</w:t>
      </w:r>
      <w:proofErr w:type="spellEnd"/>
      <w:r w:rsidRPr="00DD7B34">
        <w:t xml:space="preserve"> de l’</w:t>
      </w:r>
      <w:proofErr w:type="spellStart"/>
      <w:r w:rsidRPr="00DD7B34">
        <w:t>Eglise</w:t>
      </w:r>
      <w:proofErr w:type="spellEnd"/>
      <w:r w:rsidRPr="00DD7B34">
        <w:t xml:space="preserve">; </w:t>
      </w:r>
      <w:proofErr w:type="spellStart"/>
      <w:r w:rsidRPr="00DD7B34">
        <w:t>ils</w:t>
      </w:r>
      <w:proofErr w:type="spellEnd"/>
      <w:r w:rsidRPr="00DD7B34">
        <w:t xml:space="preserve"> s’</w:t>
      </w:r>
      <w:proofErr w:type="spellStart"/>
      <w:r w:rsidRPr="00DD7B34">
        <w:t>autorisent</w:t>
      </w:r>
      <w:proofErr w:type="spellEnd"/>
      <w:r w:rsidRPr="00DD7B34">
        <w:t xml:space="preserve"> de </w:t>
      </w:r>
      <w:proofErr w:type="spellStart"/>
      <w:r w:rsidRPr="00DD7B34">
        <w:t>leurs</w:t>
      </w:r>
      <w:proofErr w:type="spellEnd"/>
      <w:r w:rsidRPr="00DD7B34">
        <w:t xml:space="preserve"> </w:t>
      </w:r>
      <w:proofErr w:type="spellStart"/>
      <w:r w:rsidRPr="00DD7B34">
        <w:t>expériences</w:t>
      </w:r>
      <w:proofErr w:type="spellEnd"/>
      <w:r w:rsidRPr="00DD7B34">
        <w:t xml:space="preserve"> </w:t>
      </w:r>
      <w:proofErr w:type="spellStart"/>
      <w:r w:rsidRPr="00DD7B34">
        <w:t>intérieures</w:t>
      </w:r>
      <w:proofErr w:type="spellEnd"/>
      <w:r w:rsidRPr="00DD7B34">
        <w:t xml:space="preserve">, tout </w:t>
      </w:r>
      <w:proofErr w:type="spellStart"/>
      <w:r w:rsidRPr="00DD7B34">
        <w:t>comme</w:t>
      </w:r>
      <w:proofErr w:type="spellEnd"/>
      <w:r w:rsidRPr="00DD7B34">
        <w:t xml:space="preserve"> </w:t>
      </w:r>
      <w:proofErr w:type="spellStart"/>
      <w:r w:rsidRPr="00DD7B34">
        <w:t>les</w:t>
      </w:r>
      <w:proofErr w:type="spellEnd"/>
      <w:r w:rsidRPr="00DD7B34">
        <w:t xml:space="preserve"> </w:t>
      </w:r>
      <w:proofErr w:type="spellStart"/>
      <w:r w:rsidRPr="00DD7B34">
        <w:t>protestants</w:t>
      </w:r>
      <w:proofErr w:type="spellEnd"/>
      <w:r w:rsidRPr="00DD7B34">
        <w:t xml:space="preserve">; </w:t>
      </w:r>
      <w:proofErr w:type="spellStart"/>
      <w:r w:rsidRPr="00DD7B34">
        <w:t>ils</w:t>
      </w:r>
      <w:proofErr w:type="spellEnd"/>
      <w:r w:rsidRPr="00DD7B34">
        <w:t xml:space="preserve"> </w:t>
      </w:r>
      <w:proofErr w:type="spellStart"/>
      <w:r w:rsidRPr="00DD7B34">
        <w:t>sont</w:t>
      </w:r>
      <w:proofErr w:type="spellEnd"/>
      <w:r w:rsidRPr="00DD7B34">
        <w:t xml:space="preserve"> </w:t>
      </w:r>
      <w:proofErr w:type="spellStart"/>
      <w:r w:rsidRPr="00DD7B34">
        <w:t>subjiectvistes</w:t>
      </w:r>
      <w:proofErr w:type="spellEnd"/>
      <w:r w:rsidRPr="00DD7B34">
        <w:t xml:space="preserve">, </w:t>
      </w:r>
      <w:proofErr w:type="spellStart"/>
      <w:r w:rsidRPr="00DD7B34">
        <w:t>ils</w:t>
      </w:r>
      <w:proofErr w:type="spellEnd"/>
      <w:r w:rsidRPr="00DD7B34">
        <w:t xml:space="preserve"> ne </w:t>
      </w:r>
      <w:proofErr w:type="spellStart"/>
      <w:r w:rsidRPr="00DD7B34">
        <w:t>sont</w:t>
      </w:r>
      <w:proofErr w:type="spellEnd"/>
      <w:r w:rsidRPr="00DD7B34">
        <w:t xml:space="preserve"> </w:t>
      </w:r>
      <w:proofErr w:type="spellStart"/>
      <w:r w:rsidRPr="00DD7B34">
        <w:t>pas</w:t>
      </w:r>
      <w:proofErr w:type="spellEnd"/>
      <w:r w:rsidRPr="00DD7B34">
        <w:t xml:space="preserve"> </w:t>
      </w:r>
      <w:proofErr w:type="spellStart"/>
      <w:r w:rsidRPr="00DD7B34">
        <w:t>ortodoxes</w:t>
      </w:r>
      <w:proofErr w:type="spellEnd"/>
      <w:r w:rsidRPr="00DD7B34">
        <w:t xml:space="preserve">», </w:t>
      </w:r>
      <w:proofErr w:type="spellStart"/>
      <w:r w:rsidRPr="00DD7B34">
        <w:rPr>
          <w:i/>
        </w:rPr>
        <w:t>Choses</w:t>
      </w:r>
      <w:proofErr w:type="spellEnd"/>
      <w:r w:rsidRPr="00DD7B34">
        <w:rPr>
          <w:i/>
        </w:rPr>
        <w:t xml:space="preserve"> </w:t>
      </w:r>
      <w:proofErr w:type="spellStart"/>
      <w:r w:rsidRPr="00DD7B34">
        <w:rPr>
          <w:i/>
        </w:rPr>
        <w:t>passées</w:t>
      </w:r>
      <w:proofErr w:type="spellEnd"/>
      <w:r w:rsidRPr="00DD7B34">
        <w:t xml:space="preserve">, </w:t>
      </w:r>
      <w:r>
        <w:t xml:space="preserve">E. </w:t>
      </w:r>
      <w:proofErr w:type="spellStart"/>
      <w:r>
        <w:t>Nourry</w:t>
      </w:r>
      <w:proofErr w:type="spellEnd"/>
      <w:r>
        <w:t xml:space="preserve">, </w:t>
      </w:r>
      <w:r w:rsidRPr="00DD7B34">
        <w:t>Paris 1913, 307-308.</w:t>
      </w:r>
    </w:p>
  </w:footnote>
  <w:footnote w:id="19">
    <w:p w:rsidR="002E3110" w:rsidRPr="00DD7B34" w:rsidRDefault="002E3110" w:rsidP="002E3110">
      <w:pPr>
        <w:pStyle w:val="Testonotaapidipagina"/>
        <w:jc w:val="both"/>
      </w:pPr>
      <w:r w:rsidRPr="00DD7B34">
        <w:rPr>
          <w:rStyle w:val="Rimandonotaapidipagina"/>
        </w:rPr>
        <w:footnoteRef/>
      </w:r>
      <w:r>
        <w:t xml:space="preserve"> «</w:t>
      </w:r>
      <w:r w:rsidRPr="006D4793">
        <w:t>Perché senza un Cristo reale, inserito realmente nella trama dell’umanità… un Cristo che ha sofferto, è morto ed è risuscitato, la dottrina contenuta nelle lettere di Paolo così come la dottrina contenuta nei Vangeli non avrebbe più senso né consistenza»</w:t>
      </w:r>
      <w:r>
        <w:rPr>
          <w:sz w:val="22"/>
        </w:rPr>
        <w:t>, in</w:t>
      </w:r>
      <w:r w:rsidRPr="00DD7B34">
        <w:t xml:space="preserve"> </w:t>
      </w:r>
      <w:proofErr w:type="spellStart"/>
      <w:r w:rsidRPr="00DD7B34">
        <w:rPr>
          <w:i/>
        </w:rPr>
        <w:t>Critique</w:t>
      </w:r>
      <w:proofErr w:type="spellEnd"/>
      <w:r w:rsidRPr="00DD7B34">
        <w:rPr>
          <w:i/>
        </w:rPr>
        <w:t xml:space="preserve"> </w:t>
      </w:r>
      <w:proofErr w:type="spellStart"/>
      <w:r w:rsidRPr="00DD7B34">
        <w:rPr>
          <w:i/>
        </w:rPr>
        <w:t>du</w:t>
      </w:r>
      <w:proofErr w:type="spellEnd"/>
      <w:r w:rsidRPr="00DD7B34">
        <w:rPr>
          <w:i/>
        </w:rPr>
        <w:t xml:space="preserve"> </w:t>
      </w:r>
      <w:proofErr w:type="spellStart"/>
      <w:r w:rsidRPr="00DD7B34">
        <w:rPr>
          <w:i/>
        </w:rPr>
        <w:t>Laïcisme</w:t>
      </w:r>
      <w:proofErr w:type="spellEnd"/>
      <w:r w:rsidRPr="00DD7B34">
        <w:rPr>
          <w:i/>
        </w:rPr>
        <w:t xml:space="preserve"> </w:t>
      </w:r>
      <w:proofErr w:type="spellStart"/>
      <w:r w:rsidRPr="00DD7B34">
        <w:rPr>
          <w:i/>
        </w:rPr>
        <w:t>ou</w:t>
      </w:r>
      <w:proofErr w:type="spellEnd"/>
      <w:r w:rsidRPr="00DD7B34">
        <w:rPr>
          <w:i/>
        </w:rPr>
        <w:t xml:space="preserve"> </w:t>
      </w:r>
      <w:proofErr w:type="spellStart"/>
      <w:r w:rsidRPr="00DD7B34">
        <w:rPr>
          <w:i/>
        </w:rPr>
        <w:t>comment</w:t>
      </w:r>
      <w:proofErr w:type="spellEnd"/>
      <w:r w:rsidRPr="00DD7B34">
        <w:rPr>
          <w:i/>
        </w:rPr>
        <w:t xml:space="preserve"> se pose le </w:t>
      </w:r>
      <w:proofErr w:type="spellStart"/>
      <w:r w:rsidRPr="00DD7B34">
        <w:rPr>
          <w:i/>
        </w:rPr>
        <w:t>problème</w:t>
      </w:r>
      <w:proofErr w:type="spellEnd"/>
      <w:r w:rsidRPr="00DD7B34">
        <w:rPr>
          <w:i/>
        </w:rPr>
        <w:t xml:space="preserve"> </w:t>
      </w:r>
      <w:proofErr w:type="spellStart"/>
      <w:r w:rsidRPr="00DD7B34">
        <w:rPr>
          <w:i/>
        </w:rPr>
        <w:t>religieux</w:t>
      </w:r>
      <w:proofErr w:type="spellEnd"/>
      <w:r w:rsidRPr="00DD7B34">
        <w:t xml:space="preserve">, </w:t>
      </w:r>
      <w:proofErr w:type="spellStart"/>
      <w:r>
        <w:t>Vrin</w:t>
      </w:r>
      <w:proofErr w:type="spellEnd"/>
      <w:r>
        <w:t xml:space="preserve">, </w:t>
      </w:r>
      <w:r w:rsidRPr="00DD7B34">
        <w:t>Paris 1948, 395.</w:t>
      </w:r>
    </w:p>
  </w:footnote>
  <w:footnote w:id="20">
    <w:p w:rsidR="002E3110" w:rsidRPr="00DD7B34" w:rsidRDefault="002E3110" w:rsidP="002E3110">
      <w:pPr>
        <w:pStyle w:val="Testonotaapidipagina"/>
        <w:jc w:val="both"/>
        <w:rPr>
          <w:lang w:val="en-GB"/>
        </w:rPr>
      </w:pPr>
      <w:r w:rsidRPr="00DD7B34">
        <w:rPr>
          <w:rStyle w:val="Rimandonotaapidipagina"/>
        </w:rPr>
        <w:footnoteRef/>
      </w:r>
      <w:r w:rsidRPr="00DD7B34">
        <w:rPr>
          <w:lang w:val="en-GB"/>
        </w:rPr>
        <w:t xml:space="preserve"> </w:t>
      </w:r>
      <w:proofErr w:type="spellStart"/>
      <w:r w:rsidRPr="00DD7B34">
        <w:rPr>
          <w:i/>
          <w:lang w:val="en-GB"/>
        </w:rPr>
        <w:t>Réalisme</w:t>
      </w:r>
      <w:proofErr w:type="spellEnd"/>
      <w:r w:rsidRPr="00DD7B34">
        <w:rPr>
          <w:i/>
          <w:lang w:val="en-GB"/>
        </w:rPr>
        <w:t xml:space="preserve"> </w:t>
      </w:r>
      <w:proofErr w:type="spellStart"/>
      <w:r w:rsidRPr="00DD7B34">
        <w:rPr>
          <w:i/>
          <w:lang w:val="en-GB"/>
        </w:rPr>
        <w:t>chrétien</w:t>
      </w:r>
      <w:proofErr w:type="spellEnd"/>
      <w:r w:rsidRPr="00DD7B34">
        <w:rPr>
          <w:i/>
          <w:lang w:val="en-GB"/>
        </w:rPr>
        <w:t xml:space="preserve"> et </w:t>
      </w:r>
      <w:proofErr w:type="spellStart"/>
      <w:r w:rsidRPr="00DD7B34">
        <w:rPr>
          <w:i/>
          <w:lang w:val="en-GB"/>
        </w:rPr>
        <w:t>idéalisme</w:t>
      </w:r>
      <w:proofErr w:type="spellEnd"/>
      <w:r w:rsidRPr="00DD7B34">
        <w:rPr>
          <w:i/>
          <w:lang w:val="en-GB"/>
        </w:rPr>
        <w:t xml:space="preserve"> </w:t>
      </w:r>
      <w:proofErr w:type="spellStart"/>
      <w:r w:rsidRPr="00DD7B34">
        <w:rPr>
          <w:i/>
          <w:lang w:val="en-GB"/>
        </w:rPr>
        <w:t>grec</w:t>
      </w:r>
      <w:proofErr w:type="spellEnd"/>
      <w:r w:rsidRPr="00DD7B34">
        <w:rPr>
          <w:lang w:val="en-GB"/>
        </w:rPr>
        <w:t>, 126-127.</w:t>
      </w:r>
    </w:p>
  </w:footnote>
  <w:footnote w:id="21">
    <w:p w:rsidR="002E3110" w:rsidRPr="00DD7B34" w:rsidRDefault="002E3110" w:rsidP="002E3110">
      <w:pPr>
        <w:pStyle w:val="Testonotaapidipagina"/>
        <w:jc w:val="both"/>
      </w:pPr>
      <w:r w:rsidRPr="00DD7B34">
        <w:rPr>
          <w:rStyle w:val="Rimandonotaapidipagina"/>
        </w:rPr>
        <w:footnoteRef/>
      </w:r>
      <w:r w:rsidRPr="00DD7B34">
        <w:t xml:space="preserve"> </w:t>
      </w:r>
      <w:r w:rsidRPr="00DD7B34">
        <w:rPr>
          <w:i/>
        </w:rPr>
        <w:t>Ivi</w:t>
      </w:r>
      <w:r w:rsidRPr="00DD7B34">
        <w:t>, 167-170.</w:t>
      </w:r>
    </w:p>
  </w:footnote>
  <w:footnote w:id="22">
    <w:p w:rsidR="002E3110" w:rsidRPr="00DD7B34" w:rsidRDefault="002E3110" w:rsidP="002E3110">
      <w:pPr>
        <w:pStyle w:val="Testonotaapidipagina"/>
        <w:jc w:val="both"/>
        <w:rPr>
          <w:lang w:val="en-GB"/>
        </w:rPr>
      </w:pPr>
      <w:r w:rsidRPr="00DD7B34">
        <w:rPr>
          <w:rStyle w:val="Rimandonotaapidipagina"/>
        </w:rPr>
        <w:footnoteRef/>
      </w:r>
      <w:r w:rsidRPr="00DD7B34">
        <w:rPr>
          <w:lang w:val="en-GB"/>
        </w:rPr>
        <w:t xml:space="preserve"> </w:t>
      </w:r>
      <w:r w:rsidRPr="00DD7B34">
        <w:rPr>
          <w:i/>
          <w:lang w:val="en-GB"/>
        </w:rPr>
        <w:t xml:space="preserve">Le </w:t>
      </w:r>
      <w:proofErr w:type="spellStart"/>
      <w:r w:rsidRPr="00DD7B34">
        <w:rPr>
          <w:i/>
          <w:lang w:val="en-GB"/>
        </w:rPr>
        <w:t>témoignage</w:t>
      </w:r>
      <w:proofErr w:type="spellEnd"/>
      <w:r w:rsidRPr="00DD7B34">
        <w:rPr>
          <w:i/>
          <w:lang w:val="en-GB"/>
        </w:rPr>
        <w:t xml:space="preserve"> des martyrs</w:t>
      </w:r>
      <w:r w:rsidRPr="00DD7B34">
        <w:rPr>
          <w:lang w:val="en-GB"/>
        </w:rPr>
        <w:t xml:space="preserve">, </w:t>
      </w:r>
      <w:proofErr w:type="spellStart"/>
      <w:r>
        <w:rPr>
          <w:lang w:val="en-GB"/>
        </w:rPr>
        <w:t>Vrin</w:t>
      </w:r>
      <w:proofErr w:type="spellEnd"/>
      <w:r>
        <w:rPr>
          <w:lang w:val="en-GB"/>
        </w:rPr>
        <w:t xml:space="preserve">, </w:t>
      </w:r>
      <w:r w:rsidRPr="00DD7B34">
        <w:rPr>
          <w:lang w:val="en-GB"/>
        </w:rPr>
        <w:t>Paris 1912, 20-21.</w:t>
      </w:r>
    </w:p>
  </w:footnote>
  <w:footnote w:id="23">
    <w:p w:rsidR="002E3110" w:rsidRPr="00DD7B34" w:rsidRDefault="002E3110" w:rsidP="002E3110">
      <w:pPr>
        <w:pStyle w:val="Testonotaapidipagina"/>
        <w:jc w:val="both"/>
        <w:rPr>
          <w:lang w:val="en-GB"/>
        </w:rPr>
      </w:pPr>
      <w:r w:rsidRPr="00DD7B34">
        <w:rPr>
          <w:rStyle w:val="Rimandonotaapidipagina"/>
        </w:rPr>
        <w:footnoteRef/>
      </w:r>
      <w:r w:rsidRPr="00DD7B34">
        <w:rPr>
          <w:lang w:val="en-GB"/>
        </w:rPr>
        <w:t xml:space="preserve"> </w:t>
      </w:r>
      <w:proofErr w:type="spellStart"/>
      <w:r w:rsidRPr="00DD7B34">
        <w:rPr>
          <w:i/>
          <w:lang w:val="en-GB"/>
        </w:rPr>
        <w:t>Réalisme</w:t>
      </w:r>
      <w:proofErr w:type="spellEnd"/>
      <w:r w:rsidRPr="00DD7B34">
        <w:rPr>
          <w:i/>
          <w:lang w:val="en-GB"/>
        </w:rPr>
        <w:t xml:space="preserve"> </w:t>
      </w:r>
      <w:proofErr w:type="spellStart"/>
      <w:r w:rsidRPr="00DD7B34">
        <w:rPr>
          <w:i/>
          <w:lang w:val="en-GB"/>
        </w:rPr>
        <w:t>chrétien</w:t>
      </w:r>
      <w:proofErr w:type="spellEnd"/>
      <w:r w:rsidRPr="00DD7B34">
        <w:rPr>
          <w:i/>
          <w:lang w:val="en-GB"/>
        </w:rPr>
        <w:t xml:space="preserve"> et </w:t>
      </w:r>
      <w:proofErr w:type="spellStart"/>
      <w:r w:rsidRPr="00DD7B34">
        <w:rPr>
          <w:i/>
          <w:lang w:val="en-GB"/>
        </w:rPr>
        <w:t>idéalisme</w:t>
      </w:r>
      <w:proofErr w:type="spellEnd"/>
      <w:r w:rsidRPr="00DD7B34">
        <w:rPr>
          <w:i/>
          <w:lang w:val="en-GB"/>
        </w:rPr>
        <w:t xml:space="preserve"> </w:t>
      </w:r>
      <w:proofErr w:type="spellStart"/>
      <w:r w:rsidRPr="00DD7B34">
        <w:rPr>
          <w:i/>
          <w:lang w:val="en-GB"/>
        </w:rPr>
        <w:t>grec</w:t>
      </w:r>
      <w:proofErr w:type="spellEnd"/>
      <w:r w:rsidRPr="00DD7B34">
        <w:rPr>
          <w:lang w:val="en-GB"/>
        </w:rPr>
        <w:t>, 121-125.</w:t>
      </w:r>
    </w:p>
  </w:footnote>
  <w:footnote w:id="24">
    <w:p w:rsidR="002E3110" w:rsidRPr="00DD7B34" w:rsidRDefault="002E3110" w:rsidP="002E3110">
      <w:pPr>
        <w:pStyle w:val="Testonotaapidipagina"/>
        <w:jc w:val="both"/>
      </w:pPr>
      <w:r w:rsidRPr="00DD7B34">
        <w:rPr>
          <w:rStyle w:val="Rimandonotaapidipagina"/>
        </w:rPr>
        <w:footnoteRef/>
      </w:r>
      <w:r w:rsidRPr="00DD7B34">
        <w:t xml:space="preserve"> </w:t>
      </w:r>
      <w:r w:rsidRPr="00DD7B34">
        <w:rPr>
          <w:i/>
        </w:rPr>
        <w:t>Ivi</w:t>
      </w:r>
      <w:r w:rsidRPr="00DD7B34">
        <w:t>, 138.</w:t>
      </w:r>
    </w:p>
  </w:footnote>
  <w:footnote w:id="25">
    <w:p w:rsidR="006829B4" w:rsidRDefault="006829B4" w:rsidP="002E3110">
      <w:pPr>
        <w:pStyle w:val="Testonotaapidipagina"/>
        <w:jc w:val="both"/>
      </w:pPr>
      <w:r>
        <w:rPr>
          <w:rStyle w:val="Rimandonotaapidipagina"/>
        </w:rPr>
        <w:footnoteRef/>
      </w:r>
      <w:r>
        <w:t xml:space="preserve"> Per una presentazione complessiva dei vari fondamentalismi (cristiano, ebraico, islamico, induista e </w:t>
      </w:r>
      <w:proofErr w:type="spellStart"/>
      <w:r>
        <w:t>sik</w:t>
      </w:r>
      <w:proofErr w:type="spellEnd"/>
      <w:r>
        <w:t xml:space="preserve">) si veda il bel lavoro di </w:t>
      </w:r>
      <w:r w:rsidRPr="00853739">
        <w:rPr>
          <w:smallCaps/>
        </w:rPr>
        <w:t>E. Pace – P. Stefani</w:t>
      </w:r>
      <w:r>
        <w:t xml:space="preserve"> (ed), </w:t>
      </w:r>
      <w:r w:rsidRPr="00853739">
        <w:rPr>
          <w:i/>
        </w:rPr>
        <w:t>Il fondamentalismo religioso contemporaneo</w:t>
      </w:r>
      <w:r>
        <w:t xml:space="preserve">, Queriniana, Brescia 2000. Sul versante sociologico le tesi qui espresse riprendono lo studio di </w:t>
      </w:r>
      <w:r w:rsidRPr="00853739">
        <w:rPr>
          <w:smallCaps/>
        </w:rPr>
        <w:t>E. Pace</w:t>
      </w:r>
      <w:r>
        <w:t xml:space="preserve">, </w:t>
      </w:r>
      <w:r w:rsidRPr="00853739">
        <w:rPr>
          <w:i/>
        </w:rPr>
        <w:t>Il regime della verità. Il fondamentalismo contemporaneo</w:t>
      </w:r>
      <w:r>
        <w:t>, Il Mulino, Bologna 1990.</w:t>
      </w:r>
    </w:p>
  </w:footnote>
  <w:footnote w:id="26">
    <w:p w:rsidR="006829B4" w:rsidRDefault="006829B4" w:rsidP="002E3110">
      <w:pPr>
        <w:pStyle w:val="Testonotaapidipagina"/>
        <w:jc w:val="both"/>
      </w:pPr>
      <w:r>
        <w:rPr>
          <w:rStyle w:val="Rimandonotaapidipagina"/>
        </w:rPr>
        <w:footnoteRef/>
      </w:r>
      <w:r>
        <w:t xml:space="preserve"> Su questa definizione e per una più dettagliata spiegazione dei termini si veda </w:t>
      </w:r>
      <w:r w:rsidRPr="00853739">
        <w:rPr>
          <w:smallCaps/>
        </w:rPr>
        <w:t>E. Pace – P. Stefani</w:t>
      </w:r>
      <w:r>
        <w:t xml:space="preserve"> (ed), </w:t>
      </w:r>
      <w:r w:rsidRPr="00853739">
        <w:rPr>
          <w:i/>
        </w:rPr>
        <w:t>Il fondamentalismo religioso contemporaneo</w:t>
      </w:r>
      <w:r>
        <w:t>, pp. 22-24.</w:t>
      </w:r>
    </w:p>
  </w:footnote>
  <w:footnote w:id="27">
    <w:p w:rsidR="006829B4" w:rsidRDefault="006829B4" w:rsidP="002E3110">
      <w:pPr>
        <w:pStyle w:val="Testonotaapidipagina"/>
        <w:jc w:val="both"/>
      </w:pPr>
      <w:r>
        <w:rPr>
          <w:rStyle w:val="Rimandonotaapidipagina"/>
        </w:rPr>
        <w:footnoteRef/>
      </w:r>
      <w:r>
        <w:t xml:space="preserve"> Per questo tipo di analisi si veda l’interessante studio di </w:t>
      </w:r>
      <w:r w:rsidRPr="00ED0546">
        <w:rPr>
          <w:smallCaps/>
        </w:rPr>
        <w:t>M. Aletti – G. Rossi</w:t>
      </w:r>
      <w:r>
        <w:t xml:space="preserve"> (ed), </w:t>
      </w:r>
      <w:r w:rsidRPr="00ED0546">
        <w:rPr>
          <w:i/>
        </w:rPr>
        <w:t>Identità religiosa, pluralismo, fondamentalismo</w:t>
      </w:r>
      <w:r>
        <w:t>, Glossa, Milano 2004.</w:t>
      </w:r>
    </w:p>
  </w:footnote>
  <w:footnote w:id="28">
    <w:p w:rsidR="006829B4" w:rsidRDefault="006829B4" w:rsidP="002E3110">
      <w:pPr>
        <w:pStyle w:val="Testonotaapidipagina"/>
        <w:jc w:val="both"/>
      </w:pPr>
      <w:r>
        <w:rPr>
          <w:rStyle w:val="Rimandonotaapidipagina"/>
        </w:rPr>
        <w:footnoteRef/>
      </w:r>
      <w:r>
        <w:t xml:space="preserve"> </w:t>
      </w:r>
      <w:r w:rsidRPr="00205A98">
        <w:rPr>
          <w:smallCaps/>
        </w:rPr>
        <w:t>J. Ratzinger</w:t>
      </w:r>
      <w:r>
        <w:t xml:space="preserve">, </w:t>
      </w:r>
      <w:r w:rsidRPr="00205A98">
        <w:rPr>
          <w:i/>
        </w:rPr>
        <w:t>Fede, verità, tolleranza. Il cristianesimo e le religioni del mondo</w:t>
      </w:r>
      <w:r>
        <w:t>, pp. 170-171.</w:t>
      </w:r>
    </w:p>
  </w:footnote>
  <w:footnote w:id="29">
    <w:p w:rsidR="006829B4" w:rsidRDefault="006829B4" w:rsidP="002E3110">
      <w:pPr>
        <w:pStyle w:val="Testonotaapidipagina"/>
        <w:jc w:val="both"/>
        <w:rPr>
          <w:sz w:val="22"/>
        </w:rPr>
      </w:pPr>
      <w:r>
        <w:rPr>
          <w:rStyle w:val="Rimandonotaapidipagina"/>
        </w:rPr>
        <w:footnoteRef/>
      </w:r>
      <w:r>
        <w:t xml:space="preserve"> </w:t>
      </w:r>
      <w:r>
        <w:rPr>
          <w:i/>
          <w:iCs/>
          <w:sz w:val="22"/>
        </w:rPr>
        <w:t>Ivi</w:t>
      </w:r>
      <w:r>
        <w:rPr>
          <w:sz w:val="22"/>
        </w:rPr>
        <w:t>, pp. 65-67.</w:t>
      </w:r>
    </w:p>
  </w:footnote>
  <w:footnote w:id="30">
    <w:p w:rsidR="006829B4" w:rsidRDefault="006829B4" w:rsidP="006829B4">
      <w:pPr>
        <w:pStyle w:val="Testonotaapidipagina"/>
        <w:rPr>
          <w:sz w:val="22"/>
        </w:rPr>
      </w:pPr>
      <w:r>
        <w:rPr>
          <w:rStyle w:val="Rimandonotaapidipagina"/>
        </w:rPr>
        <w:footnoteRef/>
      </w:r>
      <w:r>
        <w:t xml:space="preserve"> </w:t>
      </w:r>
      <w:r>
        <w:rPr>
          <w:i/>
          <w:iCs/>
          <w:sz w:val="22"/>
        </w:rPr>
        <w:t>Ivi</w:t>
      </w:r>
      <w:r>
        <w:rPr>
          <w:sz w:val="22"/>
        </w:rPr>
        <w:t>, p. 205.</w:t>
      </w:r>
    </w:p>
  </w:footnote>
  <w:footnote w:id="31">
    <w:p w:rsidR="006829B4" w:rsidRDefault="006829B4" w:rsidP="006829B4">
      <w:pPr>
        <w:pStyle w:val="Testonotaapidipagina"/>
        <w:rPr>
          <w:sz w:val="22"/>
        </w:rPr>
      </w:pPr>
      <w:r>
        <w:rPr>
          <w:rStyle w:val="Rimandonotaapidipagina"/>
        </w:rPr>
        <w:footnoteRef/>
      </w:r>
      <w:r>
        <w:t xml:space="preserve"> </w:t>
      </w:r>
      <w:r>
        <w:rPr>
          <w:i/>
          <w:iCs/>
          <w:sz w:val="22"/>
        </w:rPr>
        <w:t>Ivi</w:t>
      </w:r>
      <w:r>
        <w:rPr>
          <w:sz w:val="22"/>
        </w:rPr>
        <w:t>, pp. 210-211.</w:t>
      </w:r>
    </w:p>
  </w:footnote>
  <w:footnote w:id="32">
    <w:p w:rsidR="006829B4" w:rsidRDefault="006829B4" w:rsidP="006829B4">
      <w:pPr>
        <w:pStyle w:val="Testonotaapidipagina"/>
        <w:rPr>
          <w:sz w:val="22"/>
        </w:rPr>
      </w:pPr>
      <w:r>
        <w:rPr>
          <w:rStyle w:val="Rimandonotaapidipagina"/>
        </w:rPr>
        <w:footnoteRef/>
      </w:r>
      <w:r>
        <w:t xml:space="preserve"> </w:t>
      </w:r>
      <w:r>
        <w:rPr>
          <w:i/>
          <w:iCs/>
          <w:sz w:val="22"/>
        </w:rPr>
        <w:t>Ivi</w:t>
      </w:r>
      <w:r>
        <w:rPr>
          <w:sz w:val="22"/>
        </w:rPr>
        <w:t>, pp. 91-92.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9B4"/>
    <w:rsid w:val="000629A8"/>
    <w:rsid w:val="002473C1"/>
    <w:rsid w:val="002C3854"/>
    <w:rsid w:val="002E3110"/>
    <w:rsid w:val="003D17B9"/>
    <w:rsid w:val="006829B4"/>
    <w:rsid w:val="009B13FB"/>
    <w:rsid w:val="00C47DE6"/>
    <w:rsid w:val="00C96D0A"/>
    <w:rsid w:val="00E62E34"/>
    <w:rsid w:val="00FB3E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829B4"/>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rsid w:val="006829B4"/>
    <w:pPr>
      <w:jc w:val="both"/>
    </w:pPr>
    <w:rPr>
      <w:sz w:val="22"/>
      <w:szCs w:val="20"/>
    </w:rPr>
  </w:style>
  <w:style w:type="character" w:customStyle="1" w:styleId="CorpotestoCarattere">
    <w:name w:val="Corpo testo Carattere"/>
    <w:basedOn w:val="Carpredefinitoparagrafo"/>
    <w:link w:val="Corpotesto"/>
    <w:rsid w:val="006829B4"/>
    <w:rPr>
      <w:rFonts w:ascii="Times New Roman" w:eastAsia="Times New Roman" w:hAnsi="Times New Roman" w:cs="Times New Roman"/>
      <w:szCs w:val="20"/>
      <w:lang w:eastAsia="it-IT"/>
    </w:rPr>
  </w:style>
  <w:style w:type="paragraph" w:styleId="Testonotaapidipagina">
    <w:name w:val="footnote text"/>
    <w:basedOn w:val="Normale"/>
    <w:link w:val="TestonotaapidipaginaCarattere"/>
    <w:semiHidden/>
    <w:rsid w:val="006829B4"/>
    <w:rPr>
      <w:sz w:val="20"/>
      <w:szCs w:val="20"/>
    </w:rPr>
  </w:style>
  <w:style w:type="character" w:customStyle="1" w:styleId="TestonotaapidipaginaCarattere">
    <w:name w:val="Testo nota a piè di pagina Carattere"/>
    <w:basedOn w:val="Carpredefinitoparagrafo"/>
    <w:link w:val="Testonotaapidipagina"/>
    <w:semiHidden/>
    <w:rsid w:val="006829B4"/>
    <w:rPr>
      <w:rFonts w:ascii="Times New Roman" w:eastAsia="Times New Roman" w:hAnsi="Times New Roman" w:cs="Times New Roman"/>
      <w:sz w:val="20"/>
      <w:szCs w:val="20"/>
      <w:lang w:eastAsia="it-IT"/>
    </w:rPr>
  </w:style>
  <w:style w:type="character" w:styleId="Rimandonotaapidipagina">
    <w:name w:val="footnote reference"/>
    <w:basedOn w:val="Carpredefinitoparagrafo"/>
    <w:semiHidden/>
    <w:rsid w:val="006829B4"/>
    <w:rPr>
      <w:vertAlign w:val="superscript"/>
    </w:rPr>
  </w:style>
  <w:style w:type="paragraph" w:styleId="Citazione">
    <w:name w:val="Quote"/>
    <w:basedOn w:val="Normale"/>
    <w:next w:val="Corpotesto"/>
    <w:link w:val="CitazioneCarattere"/>
    <w:qFormat/>
    <w:rsid w:val="006829B4"/>
    <w:pPr>
      <w:tabs>
        <w:tab w:val="right" w:pos="284"/>
      </w:tabs>
      <w:spacing w:before="180" w:after="180" w:line="250" w:lineRule="exact"/>
      <w:ind w:left="284"/>
      <w:jc w:val="both"/>
    </w:pPr>
    <w:rPr>
      <w:sz w:val="25"/>
      <w:szCs w:val="20"/>
    </w:rPr>
  </w:style>
  <w:style w:type="character" w:customStyle="1" w:styleId="CitazioneCarattere">
    <w:name w:val="Citazione Carattere"/>
    <w:basedOn w:val="Carpredefinitoparagrafo"/>
    <w:link w:val="Citazione"/>
    <w:rsid w:val="006829B4"/>
    <w:rPr>
      <w:rFonts w:ascii="Times New Roman" w:eastAsia="Times New Roman" w:hAnsi="Times New Roman" w:cs="Times New Roman"/>
      <w:sz w:val="25"/>
      <w:szCs w:val="20"/>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829B4"/>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rsid w:val="006829B4"/>
    <w:pPr>
      <w:jc w:val="both"/>
    </w:pPr>
    <w:rPr>
      <w:sz w:val="22"/>
      <w:szCs w:val="20"/>
    </w:rPr>
  </w:style>
  <w:style w:type="character" w:customStyle="1" w:styleId="CorpotestoCarattere">
    <w:name w:val="Corpo testo Carattere"/>
    <w:basedOn w:val="Carpredefinitoparagrafo"/>
    <w:link w:val="Corpotesto"/>
    <w:rsid w:val="006829B4"/>
    <w:rPr>
      <w:rFonts w:ascii="Times New Roman" w:eastAsia="Times New Roman" w:hAnsi="Times New Roman" w:cs="Times New Roman"/>
      <w:szCs w:val="20"/>
      <w:lang w:eastAsia="it-IT"/>
    </w:rPr>
  </w:style>
  <w:style w:type="paragraph" w:styleId="Testonotaapidipagina">
    <w:name w:val="footnote text"/>
    <w:basedOn w:val="Normale"/>
    <w:link w:val="TestonotaapidipaginaCarattere"/>
    <w:semiHidden/>
    <w:rsid w:val="006829B4"/>
    <w:rPr>
      <w:sz w:val="20"/>
      <w:szCs w:val="20"/>
    </w:rPr>
  </w:style>
  <w:style w:type="character" w:customStyle="1" w:styleId="TestonotaapidipaginaCarattere">
    <w:name w:val="Testo nota a piè di pagina Carattere"/>
    <w:basedOn w:val="Carpredefinitoparagrafo"/>
    <w:link w:val="Testonotaapidipagina"/>
    <w:semiHidden/>
    <w:rsid w:val="006829B4"/>
    <w:rPr>
      <w:rFonts w:ascii="Times New Roman" w:eastAsia="Times New Roman" w:hAnsi="Times New Roman" w:cs="Times New Roman"/>
      <w:sz w:val="20"/>
      <w:szCs w:val="20"/>
      <w:lang w:eastAsia="it-IT"/>
    </w:rPr>
  </w:style>
  <w:style w:type="character" w:styleId="Rimandonotaapidipagina">
    <w:name w:val="footnote reference"/>
    <w:basedOn w:val="Carpredefinitoparagrafo"/>
    <w:semiHidden/>
    <w:rsid w:val="006829B4"/>
    <w:rPr>
      <w:vertAlign w:val="superscript"/>
    </w:rPr>
  </w:style>
  <w:style w:type="paragraph" w:styleId="Citazione">
    <w:name w:val="Quote"/>
    <w:basedOn w:val="Normale"/>
    <w:next w:val="Corpotesto"/>
    <w:link w:val="CitazioneCarattere"/>
    <w:qFormat/>
    <w:rsid w:val="006829B4"/>
    <w:pPr>
      <w:tabs>
        <w:tab w:val="right" w:pos="284"/>
      </w:tabs>
      <w:spacing w:before="180" w:after="180" w:line="250" w:lineRule="exact"/>
      <w:ind w:left="284"/>
      <w:jc w:val="both"/>
    </w:pPr>
    <w:rPr>
      <w:sz w:val="25"/>
      <w:szCs w:val="20"/>
    </w:rPr>
  </w:style>
  <w:style w:type="character" w:customStyle="1" w:styleId="CitazioneCarattere">
    <w:name w:val="Citazione Carattere"/>
    <w:basedOn w:val="Carpredefinitoparagrafo"/>
    <w:link w:val="Citazione"/>
    <w:rsid w:val="006829B4"/>
    <w:rPr>
      <w:rFonts w:ascii="Times New Roman" w:eastAsia="Times New Roman" w:hAnsi="Times New Roman" w:cs="Times New Roman"/>
      <w:sz w:val="25"/>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18</Pages>
  <Words>10437</Words>
  <Characters>59496</Characters>
  <Application>Microsoft Office Word</Application>
  <DocSecurity>0</DocSecurity>
  <Lines>495</Lines>
  <Paragraphs>139</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69794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Alberto</dc:creator>
  <cp:lastModifiedBy>Alberto</cp:lastModifiedBy>
  <cp:revision>3</cp:revision>
  <dcterms:created xsi:type="dcterms:W3CDTF">2026-10-23T16:01:00Z</dcterms:created>
  <dcterms:modified xsi:type="dcterms:W3CDTF">2026-11-02T11:10:00Z</dcterms:modified>
</cp:coreProperties>
</file>