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29A7" w:rsidRPr="002F29A7" w:rsidRDefault="002F29A7" w:rsidP="002F29A7">
      <w:pPr>
        <w:jc w:val="center"/>
        <w:rPr>
          <w:b/>
          <w:i/>
          <w:sz w:val="28"/>
          <w:szCs w:val="28"/>
        </w:rPr>
      </w:pPr>
      <w:r w:rsidRPr="002F29A7">
        <w:rPr>
          <w:b/>
          <w:i/>
          <w:sz w:val="28"/>
          <w:szCs w:val="28"/>
        </w:rPr>
        <w:t>Il cristianesimo si può auto-comprendere come “religione”?</w:t>
      </w:r>
    </w:p>
    <w:p w:rsidR="002F29A7" w:rsidRDefault="002F29A7" w:rsidP="002F29A7">
      <w:pPr>
        <w:jc w:val="both"/>
      </w:pPr>
    </w:p>
    <w:p w:rsidR="002F29A7" w:rsidRPr="002F29A7" w:rsidRDefault="002F29A7" w:rsidP="002F29A7">
      <w:pPr>
        <w:jc w:val="center"/>
        <w:rPr>
          <w:i/>
        </w:rPr>
      </w:pPr>
      <w:r w:rsidRPr="002F29A7">
        <w:rPr>
          <w:i/>
        </w:rPr>
        <w:t>Introduzione</w:t>
      </w:r>
    </w:p>
    <w:p w:rsidR="002F29A7" w:rsidRDefault="002F29A7" w:rsidP="002F29A7">
      <w:pPr>
        <w:jc w:val="both"/>
      </w:pPr>
    </w:p>
    <w:p w:rsidR="002F29A7" w:rsidRDefault="002F29A7" w:rsidP="002F29A7">
      <w:pPr>
        <w:jc w:val="both"/>
      </w:pPr>
      <w:r>
        <w:t>«La distinzione fede-religione costituisce lo strumento critico del confronto tra il cristianesimo e le religioni non cristiane»</w:t>
      </w:r>
      <w:r w:rsidRPr="00E37171">
        <w:rPr>
          <w:rStyle w:val="Rimandonotaapidipagina"/>
          <w:sz w:val="20"/>
        </w:rPr>
        <w:footnoteReference w:id="1"/>
      </w:r>
      <w:r>
        <w:t>. Il confronto con le religioni implica quindi una più rigorosa messa a tema dell’autocomprensione del cristianesimo come fede rispetto alla dimensione religiosa, di cui pur vive.</w:t>
      </w:r>
    </w:p>
    <w:p w:rsidR="004112B6" w:rsidRDefault="004112B6" w:rsidP="002F29A7">
      <w:pPr>
        <w:jc w:val="both"/>
      </w:pPr>
    </w:p>
    <w:p w:rsidR="002F29A7" w:rsidRDefault="002F29A7" w:rsidP="002F29A7">
      <w:pPr>
        <w:jc w:val="both"/>
      </w:pPr>
      <w:r>
        <w:t xml:space="preserve">La riconducibilità della differenza cristiana alla fede può essere provocatoriamente ma efficacemente enunciata con questa frase di P.A. </w:t>
      </w:r>
      <w:proofErr w:type="spellStart"/>
      <w:r>
        <w:t>Sequeri</w:t>
      </w:r>
      <w:proofErr w:type="spellEnd"/>
      <w:r>
        <w:t xml:space="preserve">: </w:t>
      </w:r>
      <w:r w:rsidRPr="001B08D6">
        <w:rPr>
          <w:i/>
        </w:rPr>
        <w:t>«Il cristianesimo è la forma storica della fede di Gesù più che la forma riuscita della religione»</w:t>
      </w:r>
      <w:r>
        <w:t>. Ma cosa si intende con «fede» e in specie con «fede di Gesù»? Potremmo riconoscerne gli ingredienti in altre esperienze religiose? A che condizione e con quale esito salvifico?</w:t>
      </w:r>
    </w:p>
    <w:p w:rsidR="004112B6" w:rsidRDefault="004112B6" w:rsidP="002F29A7">
      <w:pPr>
        <w:jc w:val="both"/>
      </w:pPr>
    </w:p>
    <w:p w:rsidR="002F29A7" w:rsidRDefault="002F29A7" w:rsidP="002F29A7">
      <w:pPr>
        <w:jc w:val="both"/>
      </w:pPr>
      <w:r>
        <w:t xml:space="preserve">Ci si deve da subito misurare con la proibizione da parte della </w:t>
      </w:r>
      <w:r w:rsidRPr="002F29A7">
        <w:rPr>
          <w:i/>
        </w:rPr>
        <w:t xml:space="preserve">Dominus </w:t>
      </w:r>
      <w:proofErr w:type="spellStart"/>
      <w:r w:rsidRPr="002F29A7">
        <w:rPr>
          <w:i/>
        </w:rPr>
        <w:t>Jesus</w:t>
      </w:r>
      <w:proofErr w:type="spellEnd"/>
      <w:r>
        <w:t xml:space="preserve"> di riconoscere in altre esperienze religiose un vero e proprio atto di fede soprannaturale. In altri termini: si deve evitare l’identificazione tra la fede cristiana e le forme di fiducia, credo, obbedienza presenti in altre religioni. Riportiamo per intero il testo, che rimanda alle posizioni di teologi come R. </w:t>
      </w:r>
      <w:proofErr w:type="spellStart"/>
      <w:r>
        <w:t>Panikkar</w:t>
      </w:r>
      <w:proofErr w:type="spellEnd"/>
      <w:r>
        <w:t xml:space="preserve">, J. </w:t>
      </w:r>
      <w:proofErr w:type="spellStart"/>
      <w:r>
        <w:t>Hick</w:t>
      </w:r>
      <w:proofErr w:type="spellEnd"/>
      <w:r>
        <w:t xml:space="preserve"> e affini.</w:t>
      </w:r>
    </w:p>
    <w:p w:rsidR="002F29A7" w:rsidRDefault="002F29A7" w:rsidP="002F29A7">
      <w:pPr>
        <w:ind w:left="170" w:right="113"/>
        <w:jc w:val="both"/>
        <w:rPr>
          <w:sz w:val="22"/>
        </w:rPr>
      </w:pPr>
    </w:p>
    <w:p w:rsidR="002F29A7" w:rsidRPr="002F29A7" w:rsidRDefault="002F29A7" w:rsidP="002F29A7">
      <w:pPr>
        <w:ind w:left="170" w:right="113"/>
        <w:jc w:val="both"/>
      </w:pPr>
      <w:r w:rsidRPr="002F29A7">
        <w:t>La risposta adeguata alla rivelazione di Dio è l’«</w:t>
      </w:r>
      <w:r w:rsidRPr="002F29A7">
        <w:rPr>
          <w:i/>
        </w:rPr>
        <w:t>obbedienza della fede</w:t>
      </w:r>
      <w:r w:rsidRPr="002F29A7">
        <w:t xml:space="preserve"> (</w:t>
      </w:r>
      <w:proofErr w:type="spellStart"/>
      <w:r w:rsidRPr="002F29A7">
        <w:t>cf</w:t>
      </w:r>
      <w:proofErr w:type="spellEnd"/>
      <w:r w:rsidRPr="002F29A7">
        <w:t xml:space="preserve">. </w:t>
      </w:r>
      <w:proofErr w:type="spellStart"/>
      <w:r w:rsidRPr="002F29A7">
        <w:t>Rm</w:t>
      </w:r>
      <w:proofErr w:type="spellEnd"/>
      <w:r w:rsidRPr="002F29A7">
        <w:t xml:space="preserve"> 1,5; 16,26; 2Cor 10,5-6), per la quale l’uomo si abbandona in Dio tutto intero liberamente, prestando il “pieno ossequio dell’intelletto e della volontà a Dio che rivela” e dando il proprio assenso volontario alla rivelazione fatta da lui» (</w:t>
      </w:r>
      <w:r w:rsidRPr="002F29A7">
        <w:rPr>
          <w:i/>
        </w:rPr>
        <w:t xml:space="preserve">Dei </w:t>
      </w:r>
      <w:proofErr w:type="spellStart"/>
      <w:r w:rsidRPr="002F29A7">
        <w:rPr>
          <w:i/>
        </w:rPr>
        <w:t>Verbum</w:t>
      </w:r>
      <w:proofErr w:type="spellEnd"/>
      <w:r w:rsidRPr="002F29A7">
        <w:t xml:space="preserve"> 5). La fede è un dono di grazia: «Perché si possa prestare questa fede, è necessaria la grazia di Dio che previene e soccorre, e gli aiuti interiori dello Spirito Santo, il quale muova il cuore e lo rivolga a Dio, apra gli occhi della mente e dia a tutti “dolcezza nel consentire e nel credere alla verità”» (</w:t>
      </w:r>
      <w:r w:rsidRPr="002F29A7">
        <w:rPr>
          <w:i/>
        </w:rPr>
        <w:t xml:space="preserve">Dei </w:t>
      </w:r>
      <w:proofErr w:type="spellStart"/>
      <w:r w:rsidRPr="002F29A7">
        <w:rPr>
          <w:i/>
        </w:rPr>
        <w:t>Verbum</w:t>
      </w:r>
      <w:proofErr w:type="spellEnd"/>
      <w:r w:rsidRPr="002F29A7">
        <w:t xml:space="preserve"> 5). </w:t>
      </w:r>
    </w:p>
    <w:p w:rsidR="002F29A7" w:rsidRPr="002F29A7" w:rsidRDefault="002F29A7" w:rsidP="002F29A7">
      <w:pPr>
        <w:ind w:left="170" w:right="113"/>
        <w:jc w:val="both"/>
      </w:pPr>
      <w:r w:rsidRPr="002F29A7">
        <w:t>L’obbedienza della fede comporta l’accoglienza della verità della rivelazione di Cristo, garantita da Dio, che è la Verità stessa (</w:t>
      </w:r>
      <w:r w:rsidRPr="002F29A7">
        <w:rPr>
          <w:i/>
        </w:rPr>
        <w:t>Catechismo della Chiesa Cattolica</w:t>
      </w:r>
      <w:r w:rsidRPr="002F29A7">
        <w:t xml:space="preserve"> n. 144): «La fede è innanzitutto un’adesione personale dell’uomo a Dio; al tempo stesso e inseparabilmente, è l’assenso libero a tutta la verità che Dio ha rivelato» (</w:t>
      </w:r>
      <w:r w:rsidRPr="002F29A7">
        <w:rPr>
          <w:i/>
        </w:rPr>
        <w:t>CCC</w:t>
      </w:r>
      <w:r w:rsidRPr="002F29A7">
        <w:t xml:space="preserve"> n. 150). La fede, quindi, «dono di Dio» e «virtù soprannaturale da lui infusa» (</w:t>
      </w:r>
      <w:r w:rsidRPr="002F29A7">
        <w:rPr>
          <w:i/>
        </w:rPr>
        <w:t>CCC</w:t>
      </w:r>
      <w:r w:rsidRPr="002F29A7">
        <w:t xml:space="preserve"> n. 153), comporta una duplice adesione: a Dio, che rivela, e alla verità da lui rivelata, per la fiducia che si accorda alla persona che l’afferma. Per questo «non dobbiamo credere in nessun altro se non in Dio, il Padre, il Figlio e lo Spirito Santo» (</w:t>
      </w:r>
      <w:r w:rsidRPr="002F29A7">
        <w:rPr>
          <w:i/>
        </w:rPr>
        <w:t>CCC</w:t>
      </w:r>
      <w:r w:rsidRPr="002F29A7">
        <w:t xml:space="preserve"> n. 178).</w:t>
      </w:r>
    </w:p>
    <w:p w:rsidR="002F29A7" w:rsidRPr="002F29A7" w:rsidRDefault="002F29A7" w:rsidP="002F29A7">
      <w:pPr>
        <w:ind w:left="170" w:right="113"/>
        <w:jc w:val="both"/>
      </w:pPr>
      <w:r w:rsidRPr="002F29A7">
        <w:t>Deve essere, quindi, fermamente ritenuta la distinzione tra la fede teologale e la credenza nelle altre religioni. Se la fede è l’accoglienza nella grazia della verità rivelata, «che permette di entrare all’interno del mistero, favorendone la coerente intelligenza» (</w:t>
      </w:r>
      <w:r w:rsidRPr="002F29A7">
        <w:rPr>
          <w:i/>
        </w:rPr>
        <w:t>Fides et ratio</w:t>
      </w:r>
      <w:r w:rsidRPr="002F29A7">
        <w:t>, n. 13), la credenza nelle altre religioni è quell’insieme di esperienza e di pensiero, che costituiscono i tesori umani di saggezza e di religiosità, che l’uomo nella sua ricerca della verità ha ideato e messo in atto nella sua ricerca del divino e dell’Assoluto (</w:t>
      </w:r>
      <w:r w:rsidRPr="002F29A7">
        <w:rPr>
          <w:i/>
        </w:rPr>
        <w:t>Fide et ratio</w:t>
      </w:r>
      <w:r w:rsidRPr="002F29A7">
        <w:t xml:space="preserve">, </w:t>
      </w:r>
      <w:proofErr w:type="spellStart"/>
      <w:r w:rsidRPr="002F29A7">
        <w:t>nn</w:t>
      </w:r>
      <w:proofErr w:type="spellEnd"/>
      <w:r w:rsidRPr="002F29A7">
        <w:t>. 31-32).</w:t>
      </w:r>
    </w:p>
    <w:p w:rsidR="002F29A7" w:rsidRDefault="002F29A7" w:rsidP="002F29A7">
      <w:pPr>
        <w:ind w:left="170" w:right="113"/>
        <w:jc w:val="both"/>
        <w:rPr>
          <w:sz w:val="22"/>
        </w:rPr>
      </w:pPr>
      <w:r w:rsidRPr="002F29A7">
        <w:t>Non sempre tale distinzione viene tenuta presente nella riflessione attuale, per cui spesso si identifica la fede teologale, che è accoglienza della verità rivelata da Dio uno e trino, e la credenza nelle altre religioni, che è esperienza religiosa ancora alla ricerca della verità assoluta e priva ancora dell’assenso a Dio che si rivela. Questo è uno dei motivi per cui si tende a ridurre, fino talvolta ad annullarle, le differenze tra il cristianesimo e le altre religioni (</w:t>
      </w:r>
      <w:r w:rsidRPr="002F29A7">
        <w:rPr>
          <w:i/>
        </w:rPr>
        <w:t xml:space="preserve">Dominus </w:t>
      </w:r>
      <w:proofErr w:type="spellStart"/>
      <w:r w:rsidRPr="002F29A7">
        <w:rPr>
          <w:i/>
        </w:rPr>
        <w:t>Jesus</w:t>
      </w:r>
      <w:proofErr w:type="spellEnd"/>
      <w:r w:rsidRPr="002F29A7">
        <w:t xml:space="preserve">, </w:t>
      </w:r>
      <w:r w:rsidR="004112B6">
        <w:t xml:space="preserve"> n.</w:t>
      </w:r>
      <w:r w:rsidRPr="002F29A7">
        <w:t>7).</w:t>
      </w:r>
    </w:p>
    <w:p w:rsidR="002F29A7" w:rsidRPr="000D3254" w:rsidRDefault="002F29A7" w:rsidP="002F29A7">
      <w:pPr>
        <w:ind w:left="170" w:right="113"/>
        <w:jc w:val="both"/>
        <w:rPr>
          <w:sz w:val="22"/>
        </w:rPr>
      </w:pPr>
    </w:p>
    <w:p w:rsidR="004112B6" w:rsidRDefault="002F29A7" w:rsidP="002F29A7">
      <w:pPr>
        <w:jc w:val="both"/>
      </w:pPr>
      <w:r>
        <w:lastRenderedPageBreak/>
        <w:t>Del resto il cristianesimo dei primi secoli si comprese meglio in relazione alla filosofia piuttosto che nel dialogo con altre religioni dell’epoca.</w:t>
      </w:r>
    </w:p>
    <w:p w:rsidR="00387E95" w:rsidRDefault="002F29A7" w:rsidP="002F29A7">
      <w:pPr>
        <w:jc w:val="both"/>
      </w:pPr>
      <w:r>
        <w:t xml:space="preserve"> </w:t>
      </w:r>
    </w:p>
    <w:p w:rsidR="002F29A7" w:rsidRPr="002F29A7" w:rsidRDefault="002F29A7" w:rsidP="002F29A7">
      <w:pPr>
        <w:jc w:val="center"/>
        <w:rPr>
          <w:i/>
        </w:rPr>
      </w:pPr>
      <w:r w:rsidRPr="002F29A7">
        <w:rPr>
          <w:i/>
        </w:rPr>
        <w:t>La distinzione tra fede e religione nel cristianesimo</w:t>
      </w:r>
    </w:p>
    <w:p w:rsidR="002F29A7" w:rsidRDefault="002F29A7" w:rsidP="002F29A7">
      <w:pPr>
        <w:jc w:val="both"/>
      </w:pPr>
    </w:p>
    <w:p w:rsidR="002F29A7" w:rsidRDefault="002F29A7" w:rsidP="002F29A7">
      <w:pPr>
        <w:jc w:val="both"/>
      </w:pPr>
      <w:r>
        <w:t>Raccogliamo, in questa direzione, alcuni contributi recenti che risultano particolarmente significativi.</w:t>
      </w:r>
    </w:p>
    <w:p w:rsidR="002F29A7" w:rsidRDefault="002F29A7" w:rsidP="002F29A7">
      <w:pPr>
        <w:jc w:val="both"/>
      </w:pPr>
    </w:p>
    <w:p w:rsidR="002F29A7" w:rsidRDefault="002F29A7" w:rsidP="002F29A7">
      <w:pPr>
        <w:jc w:val="both"/>
      </w:pPr>
      <w:r w:rsidRPr="00AE5B64">
        <w:rPr>
          <w:b/>
        </w:rPr>
        <w:t>1.</w:t>
      </w:r>
      <w:r>
        <w:t xml:space="preserve"> In una riflessione sul «tramonto dell’antitesi moderna tra cristianesimo e religione», </w:t>
      </w:r>
      <w:r w:rsidRPr="00AE5B64">
        <w:rPr>
          <w:i/>
        </w:rPr>
        <w:t>A. Grillo</w:t>
      </w:r>
      <w:r>
        <w:t xml:space="preserve"> saluta con favore la rivisitazione critica della differenza-distanza tra fede e religione, almeno nella sua forma moderna: «L’autocomprensione della fede cristiana in una </w:t>
      </w:r>
      <w:r w:rsidRPr="00AE5B64">
        <w:rPr>
          <w:i/>
        </w:rPr>
        <w:t>distanza-differenza-antitesi</w:t>
      </w:r>
      <w:r>
        <w:t xml:space="preserve"> rispetto alla religione è nello stesso tempo un dato tradizionale della coscienza cristiana e della riflessione teologica – e come tale irrinunciabile –, ma costituisce anche il frutto ormai maturo di una forzatura moderna, dovuta alla crisi del rapporto tra teologia e antropologia – e come tale è da sottoporre oggi ad accurata revisione»</w:t>
      </w:r>
      <w:r w:rsidRPr="00E37171">
        <w:rPr>
          <w:rStyle w:val="Rimandonotaapidipagina"/>
          <w:sz w:val="20"/>
        </w:rPr>
        <w:footnoteReference w:id="2"/>
      </w:r>
      <w:r>
        <w:t xml:space="preserve">. Nella tradizione il rapporto della fede con la religione, pur nella distinzione, si concretizza nella mediazione sacramentale, che articola la mediazione cristologia: «La logica del sacramento, del segno del culto e della santificazione, è anche necessariamente una </w:t>
      </w:r>
      <w:r w:rsidRPr="00AE5B64">
        <w:rPr>
          <w:i/>
        </w:rPr>
        <w:t>logica religiosa</w:t>
      </w:r>
      <w:r>
        <w:t>, che ammette e pretende una mediazione preziosa esercitata dal culto liturgico, dal mito e dal rito»</w:t>
      </w:r>
      <w:r w:rsidRPr="00E37171">
        <w:rPr>
          <w:rStyle w:val="Rimandonotaapidipagina"/>
          <w:sz w:val="20"/>
        </w:rPr>
        <w:footnoteReference w:id="3"/>
      </w:r>
      <w:r>
        <w:t>. Nella forzatura moderna invece la distinzione (divenuta antitesi) tra cristianesimo e religione assume il valore quasi di trincea, per garantire l’originalità cristiana dalla (nuova) pretesa antropologica. Una religione intesa come «proiezione del sentimento dell’uomo», come «cattura di Dio da parte dell’uomo», o come «invarianza strutturale» dell’</w:t>
      </w:r>
      <w:proofErr w:type="spellStart"/>
      <w:r w:rsidRPr="00AE5B64">
        <w:rPr>
          <w:i/>
        </w:rPr>
        <w:t>anthropos</w:t>
      </w:r>
      <w:proofErr w:type="spellEnd"/>
      <w:r>
        <w:t>, permette alla fede di auto</w:t>
      </w:r>
      <w:r w:rsidR="004112B6">
        <w:t>-</w:t>
      </w:r>
      <w:r>
        <w:t xml:space="preserve">comprendersi come antitesi a questa pretesa umana e garanzia della differenza teologica. Così la fede si riduce a una «purezza trascendentale» che rinuncia a ogni mediazione che non sia cristologica, generando una teologia senza presupposti e quindi ricondotta al puro pensiero. </w:t>
      </w:r>
    </w:p>
    <w:p w:rsidR="002F29A7" w:rsidRDefault="002F29A7" w:rsidP="002F29A7">
      <w:pPr>
        <w:pStyle w:val="Citazione"/>
        <w:spacing w:before="0" w:after="0" w:line="240" w:lineRule="auto"/>
        <w:rPr>
          <w:sz w:val="22"/>
        </w:rPr>
      </w:pPr>
    </w:p>
    <w:p w:rsidR="002F29A7" w:rsidRDefault="002F29A7" w:rsidP="002F29A7">
      <w:pPr>
        <w:pStyle w:val="Citazione"/>
        <w:spacing w:before="0" w:after="0" w:line="240" w:lineRule="auto"/>
        <w:rPr>
          <w:sz w:val="22"/>
        </w:rPr>
      </w:pPr>
      <w:r w:rsidRPr="00A1481F">
        <w:rPr>
          <w:sz w:val="22"/>
        </w:rPr>
        <w:t>Ma il progetto di garantire la trascendenza di Dio sulla base della scissione radicale di fede e religione era destinato a fallire perché viziato da intellettualismo e da astrazione rispetto ad un’adeguata fenomenologia dell’atto di fede. Non si crede, infatti, per un “atto trascendentale”, per un arretramento rispetto al religioso, ma per un avanzamento rispetto ad esso. La fede si accende non evitando le sabbie mobili del religioso e del sacro, ma attraversando e superando la frattura che l’esperienza religiosa solca nel profano, senza alcuna possibilità che cristianesimo e religione costituiscano due alternative, ma considerando la fede cristiana come un’</w:t>
      </w:r>
      <w:proofErr w:type="spellStart"/>
      <w:r w:rsidRPr="00A1481F">
        <w:rPr>
          <w:sz w:val="22"/>
        </w:rPr>
        <w:t>ulteriorità</w:t>
      </w:r>
      <w:proofErr w:type="spellEnd"/>
      <w:r w:rsidRPr="00A1481F">
        <w:rPr>
          <w:sz w:val="22"/>
        </w:rPr>
        <w:t xml:space="preserve"> possibile dell’esperienza religiosa. Tale esperienza religiosa non comanda l’esperienza cristiana, ma ne costituisce il terreno di appoggio e l’orizzonte di senso»</w:t>
      </w:r>
      <w:r w:rsidRPr="00E37171">
        <w:rPr>
          <w:rStyle w:val="Rimandonotaapidipagina"/>
          <w:sz w:val="20"/>
        </w:rPr>
        <w:footnoteReference w:id="4"/>
      </w:r>
      <w:r w:rsidRPr="00A1481F">
        <w:rPr>
          <w:sz w:val="22"/>
        </w:rPr>
        <w:t xml:space="preserve">. Si può parlare allora di </w:t>
      </w:r>
      <w:r w:rsidRPr="003C2DDF">
        <w:rPr>
          <w:i/>
          <w:sz w:val="22"/>
        </w:rPr>
        <w:t>una seconda svolta antropologica</w:t>
      </w:r>
      <w:r w:rsidRPr="00A1481F">
        <w:rPr>
          <w:sz w:val="22"/>
        </w:rPr>
        <w:t xml:space="preserve"> in teologia, che completa l’intellettualismo e l’astrazione della prima: «L’uomo che entra in relazione con Dio non si </w:t>
      </w:r>
      <w:proofErr w:type="spellStart"/>
      <w:r w:rsidRPr="00A1481F">
        <w:rPr>
          <w:sz w:val="22"/>
        </w:rPr>
        <w:t>autocomprende</w:t>
      </w:r>
      <w:proofErr w:type="spellEnd"/>
      <w:r w:rsidRPr="00A1481F">
        <w:rPr>
          <w:sz w:val="22"/>
        </w:rPr>
        <w:t xml:space="preserve"> al di là di ciò che può esprimere nella materialità sensibile degli </w:t>
      </w:r>
      <w:proofErr w:type="spellStart"/>
      <w:r w:rsidRPr="003C2DDF">
        <w:rPr>
          <w:i/>
          <w:sz w:val="22"/>
        </w:rPr>
        <w:t>exteriora</w:t>
      </w:r>
      <w:proofErr w:type="spellEnd"/>
      <w:r w:rsidRPr="003C2DDF">
        <w:rPr>
          <w:i/>
          <w:sz w:val="22"/>
        </w:rPr>
        <w:t xml:space="preserve"> </w:t>
      </w:r>
      <w:proofErr w:type="spellStart"/>
      <w:r w:rsidRPr="003C2DDF">
        <w:rPr>
          <w:i/>
          <w:sz w:val="22"/>
        </w:rPr>
        <w:t>signa</w:t>
      </w:r>
      <w:proofErr w:type="spellEnd"/>
      <w:r w:rsidRPr="00A1481F">
        <w:rPr>
          <w:sz w:val="22"/>
        </w:rPr>
        <w:t xml:space="preserve">. La consapevolezza di tale implicazione linguistica del pensiero teologico (e dell’esperienza di fede) ha portato la teologia più avvertita a cogliere il vizio intellettualistico che ha segnato la prima svolta antropologica… [Si potrebbe parlare di una] </w:t>
      </w:r>
      <w:r w:rsidRPr="003C2DDF">
        <w:rPr>
          <w:i/>
          <w:sz w:val="22"/>
        </w:rPr>
        <w:t>seconda svolta antropologica</w:t>
      </w:r>
      <w:r w:rsidRPr="00A1481F">
        <w:rPr>
          <w:sz w:val="22"/>
        </w:rPr>
        <w:t xml:space="preserve">, nella quale viene preso sul serio ciò che in filosofia è stata chiamata “svolta linguistica”, ossia la coscienza sempre più acuta di una forma di dipendenza del pensiero dal linguaggio e dell’esperienza dall’espressione. La fede e la sua </w:t>
      </w:r>
      <w:proofErr w:type="spellStart"/>
      <w:r w:rsidRPr="000105B0">
        <w:rPr>
          <w:i/>
          <w:sz w:val="22"/>
        </w:rPr>
        <w:t>protestatio</w:t>
      </w:r>
      <w:proofErr w:type="spellEnd"/>
      <w:r w:rsidRPr="00A1481F">
        <w:rPr>
          <w:sz w:val="22"/>
        </w:rPr>
        <w:t xml:space="preserve"> mediante segni (cioè la religione secondo la definizione della </w:t>
      </w:r>
      <w:r w:rsidRPr="003C2DDF">
        <w:rPr>
          <w:i/>
          <w:sz w:val="22"/>
        </w:rPr>
        <w:t xml:space="preserve">Summa </w:t>
      </w:r>
      <w:proofErr w:type="spellStart"/>
      <w:r w:rsidRPr="003C2DDF">
        <w:rPr>
          <w:i/>
          <w:sz w:val="22"/>
        </w:rPr>
        <w:t>Theologiae</w:t>
      </w:r>
      <w:proofErr w:type="spellEnd"/>
      <w:r w:rsidRPr="00A1481F">
        <w:rPr>
          <w:sz w:val="22"/>
        </w:rPr>
        <w:t xml:space="preserve"> di S. Tommaso) non stanno in un rapporto di gerarchia a priori, ma hanno piuttosto una relazione di </w:t>
      </w:r>
      <w:proofErr w:type="spellStart"/>
      <w:r w:rsidRPr="00A1481F">
        <w:rPr>
          <w:sz w:val="22"/>
        </w:rPr>
        <w:t>cooriginarietà</w:t>
      </w:r>
      <w:proofErr w:type="spellEnd"/>
      <w:r w:rsidRPr="00A1481F">
        <w:rPr>
          <w:sz w:val="22"/>
        </w:rPr>
        <w:t xml:space="preserve">, che impedisce alla teologia di poter fare i conti con la religione (con il mondo del culto, del rito e del mito) in modo sbrigativo e approssimativo, </w:t>
      </w:r>
      <w:r>
        <w:rPr>
          <w:sz w:val="22"/>
        </w:rPr>
        <w:t>a monte rispetto al suo compito</w:t>
      </w:r>
      <w:r w:rsidRPr="00E37171">
        <w:rPr>
          <w:rStyle w:val="Rimandonotaapidipagina"/>
          <w:sz w:val="20"/>
        </w:rPr>
        <w:footnoteReference w:id="5"/>
      </w:r>
      <w:r w:rsidRPr="00A1481F">
        <w:rPr>
          <w:sz w:val="22"/>
        </w:rPr>
        <w:t>.</w:t>
      </w:r>
    </w:p>
    <w:p w:rsidR="002F29A7" w:rsidRPr="00A1481F" w:rsidRDefault="002F29A7" w:rsidP="002F29A7">
      <w:pPr>
        <w:pStyle w:val="Citazione"/>
        <w:spacing w:before="0" w:after="0" w:line="240" w:lineRule="auto"/>
        <w:rPr>
          <w:sz w:val="22"/>
        </w:rPr>
      </w:pPr>
      <w:r w:rsidRPr="00A1481F">
        <w:rPr>
          <w:sz w:val="22"/>
        </w:rPr>
        <w:t xml:space="preserve"> </w:t>
      </w:r>
    </w:p>
    <w:p w:rsidR="002F29A7" w:rsidRDefault="002F29A7" w:rsidP="002F29A7">
      <w:pPr>
        <w:jc w:val="both"/>
      </w:pPr>
      <w:r>
        <w:lastRenderedPageBreak/>
        <w:t xml:space="preserve">La fede deve fare i conti con la religione, anzi deve essere capace di cominciare sempre di nuovo come religione, senza vergognarsi dei </w:t>
      </w:r>
      <w:proofErr w:type="spellStart"/>
      <w:r w:rsidRPr="0003662D">
        <w:rPr>
          <w:i/>
        </w:rPr>
        <w:t>signa</w:t>
      </w:r>
      <w:proofErr w:type="spellEnd"/>
      <w:r w:rsidRPr="0003662D">
        <w:rPr>
          <w:i/>
        </w:rPr>
        <w:t xml:space="preserve"> </w:t>
      </w:r>
      <w:proofErr w:type="spellStart"/>
      <w:r w:rsidRPr="0003662D">
        <w:rPr>
          <w:i/>
        </w:rPr>
        <w:t>exteriora</w:t>
      </w:r>
      <w:proofErr w:type="spellEnd"/>
      <w:r>
        <w:t xml:space="preserve">, per andare oltre e realizzarsi come fede in pienezza. Detto in altri termini: la differenza teologica, che mira alla purezza del Santo, deve essere custodita e garantita dalla differenza antropologica del sacro e quindi attraverso la mediazione religiosa. Se invece la differenza teologica pretende di auto-fondarsi, crolla e cade nell’astrattezza. Dunque ciò che oggi deve tramontare non è la distinzione tra religione e fede, bensì l’antitesi moderna, che contrappone teologico e antropologico, affermando i diritti di Dio contro quelli dell’uomo e cadendo nelle false alternative moderne, ove i diritti dell’uomo sono pensati contro i diritti di Dio. L’opposizione Dio-uomo è il grande vizio della modernità. </w:t>
      </w:r>
    </w:p>
    <w:p w:rsidR="002F29A7" w:rsidRDefault="002F29A7" w:rsidP="002F29A7">
      <w:pPr>
        <w:jc w:val="both"/>
      </w:pPr>
      <w:r>
        <w:t xml:space="preserve">La religione costituisce una mediazione essenziale per comprendere appieno il cristianesimo. Solo all’interno dell’ambito religioso la distinzione della fede cristiana dalla religione può manifestarsi. Se invece essa è guadagnata prima di ogni momento religioso, essa perde la mediazione umana, che non può essere solo di tipo intellettuale ed etico, ma ha bisogno anche di lasciarsi permeare di racconti mitici e prassi rituali. Questa dimensione mitico-rituale, che la modernità ha spesso screditato, deve essere reintegrata </w:t>
      </w:r>
      <w:r w:rsidRPr="00134461">
        <w:rPr>
          <w:i/>
        </w:rPr>
        <w:t>nel fondamento</w:t>
      </w:r>
      <w:r>
        <w:t xml:space="preserve"> della fede. «Così il cristianesimo può veramente dialogare con le religioni soltanto a patto di tornare e riconoscere, in se stesso, tutta la serietà e la </w:t>
      </w:r>
      <w:proofErr w:type="spellStart"/>
      <w:r>
        <w:t>fondamentalità</w:t>
      </w:r>
      <w:proofErr w:type="spellEnd"/>
      <w:r>
        <w:t xml:space="preserve"> del proprio momento strettamente religioso». Da qui la delineazione di alcuni compiti imprescindibili: (1) La possibilità di un proficuo dialogo con le religioni per il cristianesimo passa attraverso una profonda ricomprensione della propria natura di religione. Lo sguardo teologico che pretende di guardare alle religioni con l’occhio della pura fede ha già smarrito la grammatica cultuale e rituale con cui intere generazioni hanno potuto elaborare faticosamente quella purificazione della vista. (2) Rispettare l’anima religiosa del cristianesimo significa saper di nuovo coniugare concetto e simbolo, linguaggio e pensiero, espressione ed esperienza. Se noi possiamo ripetere con Tommaso che </w:t>
      </w:r>
      <w:proofErr w:type="spellStart"/>
      <w:r w:rsidRPr="00675242">
        <w:rPr>
          <w:i/>
        </w:rPr>
        <w:t>religio</w:t>
      </w:r>
      <w:proofErr w:type="spellEnd"/>
      <w:r w:rsidRPr="00675242">
        <w:rPr>
          <w:i/>
        </w:rPr>
        <w:t xml:space="preserve"> non est </w:t>
      </w:r>
      <w:proofErr w:type="spellStart"/>
      <w:r w:rsidRPr="00675242">
        <w:rPr>
          <w:i/>
        </w:rPr>
        <w:t>fides</w:t>
      </w:r>
      <w:proofErr w:type="spellEnd"/>
      <w:r>
        <w:t xml:space="preserve">, dobbiamo poter aggiungere, con lui, che la religione è </w:t>
      </w:r>
      <w:proofErr w:type="spellStart"/>
      <w:r w:rsidRPr="00277F8E">
        <w:rPr>
          <w:i/>
        </w:rPr>
        <w:t>fidei</w:t>
      </w:r>
      <w:proofErr w:type="spellEnd"/>
      <w:r w:rsidRPr="00277F8E">
        <w:rPr>
          <w:i/>
        </w:rPr>
        <w:t xml:space="preserve"> </w:t>
      </w:r>
      <w:proofErr w:type="spellStart"/>
      <w:r w:rsidRPr="00277F8E">
        <w:rPr>
          <w:i/>
        </w:rPr>
        <w:t>protestatio</w:t>
      </w:r>
      <w:proofErr w:type="spellEnd"/>
      <w:r w:rsidRPr="00277F8E">
        <w:rPr>
          <w:i/>
        </w:rPr>
        <w:t xml:space="preserve"> per </w:t>
      </w:r>
      <w:proofErr w:type="spellStart"/>
      <w:r w:rsidRPr="00277F8E">
        <w:rPr>
          <w:i/>
        </w:rPr>
        <w:t>aliqua</w:t>
      </w:r>
      <w:proofErr w:type="spellEnd"/>
      <w:r w:rsidRPr="00277F8E">
        <w:rPr>
          <w:i/>
        </w:rPr>
        <w:t xml:space="preserve"> </w:t>
      </w:r>
      <w:proofErr w:type="spellStart"/>
      <w:r w:rsidRPr="00277F8E">
        <w:rPr>
          <w:i/>
        </w:rPr>
        <w:t>exteriora</w:t>
      </w:r>
      <w:proofErr w:type="spellEnd"/>
      <w:r w:rsidRPr="00277F8E">
        <w:rPr>
          <w:i/>
        </w:rPr>
        <w:t xml:space="preserve"> </w:t>
      </w:r>
      <w:proofErr w:type="spellStart"/>
      <w:r w:rsidRPr="00277F8E">
        <w:rPr>
          <w:i/>
        </w:rPr>
        <w:t>signa</w:t>
      </w:r>
      <w:proofErr w:type="spellEnd"/>
      <w:r>
        <w:t xml:space="preserve"> (</w:t>
      </w:r>
      <w:r>
        <w:rPr>
          <w:i/>
        </w:rPr>
        <w:t xml:space="preserve">S. </w:t>
      </w:r>
      <w:proofErr w:type="spellStart"/>
      <w:r w:rsidRPr="00277F8E">
        <w:rPr>
          <w:i/>
        </w:rPr>
        <w:t>Th</w:t>
      </w:r>
      <w:proofErr w:type="spellEnd"/>
      <w:r w:rsidRPr="00277F8E">
        <w:rPr>
          <w:i/>
        </w:rPr>
        <w:t>.</w:t>
      </w:r>
      <w:r>
        <w:t xml:space="preserve"> II </w:t>
      </w:r>
      <w:proofErr w:type="spellStart"/>
      <w:r>
        <w:t>II</w:t>
      </w:r>
      <w:proofErr w:type="spellEnd"/>
      <w:r>
        <w:t xml:space="preserve">, q. </w:t>
      </w:r>
      <w:smartTag w:uri="urn:schemas-microsoft-com:office:smarttags" w:element="metricconverter">
        <w:smartTagPr>
          <w:attr w:name="ProductID" w:val="94, a"/>
        </w:smartTagPr>
        <w:r>
          <w:t>94, a</w:t>
        </w:r>
      </w:smartTag>
      <w:r>
        <w:t xml:space="preserve">. 1, ad I). Il legame tra </w:t>
      </w:r>
      <w:proofErr w:type="spellStart"/>
      <w:r w:rsidRPr="00277F8E">
        <w:rPr>
          <w:i/>
        </w:rPr>
        <w:t>fides</w:t>
      </w:r>
      <w:proofErr w:type="spellEnd"/>
      <w:r>
        <w:t xml:space="preserve"> e </w:t>
      </w:r>
      <w:proofErr w:type="spellStart"/>
      <w:r w:rsidRPr="00277F8E">
        <w:rPr>
          <w:i/>
        </w:rPr>
        <w:t>fidei</w:t>
      </w:r>
      <w:proofErr w:type="spellEnd"/>
      <w:r w:rsidRPr="00277F8E">
        <w:rPr>
          <w:i/>
        </w:rPr>
        <w:t xml:space="preserve"> </w:t>
      </w:r>
      <w:proofErr w:type="spellStart"/>
      <w:r w:rsidRPr="00277F8E">
        <w:rPr>
          <w:i/>
        </w:rPr>
        <w:t>protestatio</w:t>
      </w:r>
      <w:proofErr w:type="spellEnd"/>
      <w:r>
        <w:t xml:space="preserve"> non è però dominabile dall’alto di una purezza trascendentale e con ciò si riabilita la funzione decisiva degli </w:t>
      </w:r>
      <w:proofErr w:type="spellStart"/>
      <w:r w:rsidRPr="00277F8E">
        <w:rPr>
          <w:i/>
        </w:rPr>
        <w:t>exteriora</w:t>
      </w:r>
      <w:proofErr w:type="spellEnd"/>
      <w:r w:rsidRPr="00277F8E">
        <w:rPr>
          <w:i/>
        </w:rPr>
        <w:t xml:space="preserve"> </w:t>
      </w:r>
      <w:proofErr w:type="spellStart"/>
      <w:r w:rsidRPr="00277F8E">
        <w:rPr>
          <w:i/>
        </w:rPr>
        <w:t>signa</w:t>
      </w:r>
      <w:proofErr w:type="spellEnd"/>
      <w:r>
        <w:t>. Che dei semplici segni esteriori siano necessari al sussistere della fede cristiana, è la verità tradizionale che è stata letteralmente rimossa dalla coscienza moderna. Per questo il rapporto tra fede e religione non è comprensibile a priori rispetto al mondo cultuale e rituale, come si ostina a fare invece gran parte della teologia cristiana. (3) La possibilità di questa riconciliazione tra fede e religione, come ricomprensione dei diritti del simbolo accanto al concetto, del linguaggio accanto al pensiero, dell’espressione accanto all’esperienza, si traduce nel bisogno di ricomprendere radicalmente il rapporto tra teologia e antropologia, superando il mito di una teologia senza presupposti. La teologia deve cominciare anche con l’uomo per parlare in concreto e non solo in astratto a uomini reali e non a intelletti disincarnati.</w:t>
      </w:r>
    </w:p>
    <w:p w:rsidR="002F29A7" w:rsidRDefault="002F29A7" w:rsidP="002F29A7">
      <w:pPr>
        <w:jc w:val="both"/>
      </w:pPr>
    </w:p>
    <w:p w:rsidR="002F29A7" w:rsidRDefault="002F29A7" w:rsidP="002F29A7">
      <w:pPr>
        <w:jc w:val="both"/>
      </w:pPr>
      <w:r w:rsidRPr="00AE5B64">
        <w:rPr>
          <w:b/>
        </w:rPr>
        <w:t xml:space="preserve">2. </w:t>
      </w:r>
      <w:r>
        <w:t xml:space="preserve">Nel saggio «L’autocoscienza del cristianesimo tra fede e religione» </w:t>
      </w:r>
      <w:r w:rsidRPr="008820CC">
        <w:rPr>
          <w:i/>
        </w:rPr>
        <w:t>M. Antonelli</w:t>
      </w:r>
      <w:r>
        <w:t xml:space="preserve"> ridiscute il senso dell’ingombrante eredità </w:t>
      </w:r>
      <w:proofErr w:type="spellStart"/>
      <w:r>
        <w:t>barthiana</w:t>
      </w:r>
      <w:proofErr w:type="spellEnd"/>
      <w:r>
        <w:t xml:space="preserve"> che stabilisce la netta opposizione tra fede e religione, mettendo in luce i suoi “numi tutelari”</w:t>
      </w:r>
      <w:r w:rsidRPr="00E37171">
        <w:rPr>
          <w:rStyle w:val="Rimandonotaapidipagina"/>
          <w:sz w:val="20"/>
        </w:rPr>
        <w:footnoteReference w:id="6"/>
      </w:r>
      <w:r>
        <w:t xml:space="preserve">. L’opposizione </w:t>
      </w:r>
      <w:proofErr w:type="spellStart"/>
      <w:r>
        <w:t>barthiana</w:t>
      </w:r>
      <w:proofErr w:type="spellEnd"/>
      <w:r>
        <w:t xml:space="preserve">, che rilancia la </w:t>
      </w:r>
      <w:proofErr w:type="spellStart"/>
      <w:r>
        <w:t>problematizzazione</w:t>
      </w:r>
      <w:proofErr w:type="spellEnd"/>
      <w:r>
        <w:t xml:space="preserve"> moderna del modello agostiniano che identificava nel cristianesimo </w:t>
      </w:r>
      <w:r w:rsidRPr="00820538">
        <w:rPr>
          <w:i/>
        </w:rPr>
        <w:t>la vera</w:t>
      </w:r>
      <w:r>
        <w:t xml:space="preserve"> religione, contesta sia l’identificazione cattolica dei due termini sia la riduzione da parte della teologia liberale della rivelazione all’esperienza religiosa o al sentimento religioso. La fede non è il compimento della religione naturale o delle religioni, ma l’opposizione radicale a ogni forma religiosa di rapporto con Dio. Ma questa opposizione mostra subito due difetti: un </w:t>
      </w:r>
      <w:proofErr w:type="spellStart"/>
      <w:r>
        <w:t>estrinsecismo</w:t>
      </w:r>
      <w:proofErr w:type="spellEnd"/>
      <w:r>
        <w:t xml:space="preserve"> tra natura e soprannaturale da un lato e una disarticolazione nel rapporto tra mediazione antropologica dell’esperienza e verità teologica. </w:t>
      </w:r>
    </w:p>
    <w:p w:rsidR="002F29A7" w:rsidRDefault="002F29A7" w:rsidP="002F29A7">
      <w:pPr>
        <w:pStyle w:val="Citazione"/>
        <w:spacing w:before="0" w:after="0" w:line="240" w:lineRule="auto"/>
        <w:rPr>
          <w:sz w:val="22"/>
        </w:rPr>
      </w:pPr>
    </w:p>
    <w:p w:rsidR="002F29A7" w:rsidRDefault="002F29A7" w:rsidP="002F29A7">
      <w:pPr>
        <w:pStyle w:val="Citazione"/>
        <w:spacing w:before="0" w:after="0" w:line="240" w:lineRule="auto"/>
        <w:rPr>
          <w:sz w:val="22"/>
        </w:rPr>
      </w:pPr>
      <w:r w:rsidRPr="00A1481F">
        <w:rPr>
          <w:sz w:val="22"/>
        </w:rPr>
        <w:lastRenderedPageBreak/>
        <w:t xml:space="preserve">L’effettiva riconduzione del discorso teologico al suo principio, che è l’evento cristologico, decreta l’inadeguatezza dell’impostazione </w:t>
      </w:r>
      <w:proofErr w:type="spellStart"/>
      <w:r w:rsidRPr="00A1481F">
        <w:rPr>
          <w:sz w:val="22"/>
        </w:rPr>
        <w:t>barthiana</w:t>
      </w:r>
      <w:proofErr w:type="spellEnd"/>
      <w:r w:rsidRPr="00A1481F">
        <w:rPr>
          <w:sz w:val="22"/>
        </w:rPr>
        <w:t xml:space="preserve"> e della modulazione di fede-religione nella forma dell’opposizione. La storia di Gesù e il suo compimento pasquale non consentono la collocazione della/e religione/i nell’antropologico e della religione cristiana nel teologico. Non autorizzano quella divaricazione per cui questa è letta come “strada (salutare) di Dio all’uomo” e quella come “strada (idolatrica) dell’uomo a Dio”. La confessione cristiana infatti ultimamente dice di Gesù non meramente la divinità, ma la singolare comunione con il Padre, comunione declinata nella forma dell’obbedienza che si svolge nell’assunzione perfetta dell’universo religioso ebraico. Di lui si afferma che è l’attuazione del venire originario e fondante di Dio all’uomo, attuazione proprio in quanto in lui il destinatario dell’intenzione originaria di Dio (l’uomo) compiutamente corrisponde all’intenzione divina… L’opposizione tra una “via di Dio all’uomo” e una “via dell’uomo a Dio” non ha senso, se non quello imposto da una cultura teologica che tendeva a emancipare l’evento cristologico dalla vicenda storica di Gesù e confiscava la figura teologica in un decisionismo divino (la storicità della rivelazione cristologia è risolta nella storicità intrins</w:t>
      </w:r>
      <w:r>
        <w:rPr>
          <w:sz w:val="22"/>
        </w:rPr>
        <w:t>eca dell’essere proprio di Dio)</w:t>
      </w:r>
      <w:r w:rsidRPr="00E37171">
        <w:rPr>
          <w:rStyle w:val="Rimandonotaapidipagina"/>
          <w:sz w:val="20"/>
        </w:rPr>
        <w:footnoteReference w:id="7"/>
      </w:r>
      <w:r w:rsidRPr="00A1481F">
        <w:rPr>
          <w:sz w:val="22"/>
        </w:rPr>
        <w:t>.</w:t>
      </w:r>
    </w:p>
    <w:p w:rsidR="002F29A7" w:rsidRPr="00AE5B64" w:rsidRDefault="002F29A7" w:rsidP="002F29A7">
      <w:pPr>
        <w:pStyle w:val="Corpotesto"/>
        <w:spacing w:after="0"/>
      </w:pPr>
    </w:p>
    <w:p w:rsidR="002F29A7" w:rsidRDefault="002F29A7" w:rsidP="002F29A7">
      <w:pPr>
        <w:jc w:val="both"/>
      </w:pPr>
      <w:r>
        <w:t xml:space="preserve">Ma l’opposizione di fede e religione ha i suoi numi tutelari, costituiti da motivi teologici “imponenti” che la tradizione ci consegna. Ne possiamo individuare quattro: (1) la contestazione da parte della novità del Dio di Gesù delle immagini di Dio tipiche dei canoni religiosi dell’epoca, inclusi quelli giudaici (una contestazione che chiede agli stessi discepoli un esercizio d conversione nella sequela di Gesù e si manifesta successivamente come resistenza del linguaggio religioso giudaico e greco ad accogliere la novità cristiana); (2) l’imporsi nella modernità di una filosofia della religione che pensa alla coscienza religiosa emancipata dal principio di rivelazione, per tutelare la pace civile al di là dei conflitti confessionali. Così la religione è attribuita alla coscienza umana naturale, con i suoi difetti e i suoi limiti, che la rivelazione viene a integrare (si crea una divaricazione tra fede cristiana e religione naturale) e la religione resta priva del contatto originario con la rivelazione divina e quindi estrinseca al compimento cristologico. (3) l’istanza illuminista della «de-sacralizzazione» del mondo, consegnato come pura materia manipolabile al potere dell’uomo, troverebbe nella tradizione giudaico-cristiana e quindi nella fede una fondazione religiosa, che supera le tentazioni sacralizzanti-panteiste del sentimento religioso naturale. La fede dunque si imporrebbe per differenza dal sacro e quindi dal religioso. (4) Infine il dialogo della fede con l’intellettualismo e l’essenzialismo filosofico greco ha distolto l’attenzione della teologia dall’«antropologico concreto» nel suo sforzo di pensare alle dimensioni della comunione con Dio in Cristo. Così la dottrina spirituale si è disincarnata dai riferimenti concreti dell’esperienza umana, lasciando l’«umano» reale alle scienze profane, anche nella sua dimensione religiosa. Il cristianesimo non ha avuto nulla da dire sulla religione, intesa quale espressione dell’umano concreto, oggetto di studio delle scienze umane. La fede è stata pensata in antitesi con quella “possibilità antropologica” che è la religione o comunque </w:t>
      </w:r>
      <w:r w:rsidRPr="0085733A">
        <w:rPr>
          <w:i/>
        </w:rPr>
        <w:t>a priori</w:t>
      </w:r>
      <w:r>
        <w:t xml:space="preserve"> rispetto alla sua mediazione religiosa concreta (ridotta ormai ad espressione successiva). Occorre allora superare queste strettoie della storia della teologia, ritrovando la pertinenza teologica della questione religiosa:</w:t>
      </w:r>
    </w:p>
    <w:p w:rsidR="002F29A7" w:rsidRDefault="002F29A7" w:rsidP="002F29A7">
      <w:pPr>
        <w:pStyle w:val="Citazione"/>
        <w:spacing w:before="0" w:after="0" w:line="240" w:lineRule="auto"/>
        <w:rPr>
          <w:sz w:val="22"/>
        </w:rPr>
      </w:pPr>
    </w:p>
    <w:p w:rsidR="002F29A7" w:rsidRPr="00A1481F" w:rsidRDefault="002F29A7" w:rsidP="002F29A7">
      <w:pPr>
        <w:pStyle w:val="Citazione"/>
        <w:spacing w:before="0" w:after="0" w:line="240" w:lineRule="auto"/>
        <w:rPr>
          <w:sz w:val="22"/>
        </w:rPr>
      </w:pPr>
      <w:r w:rsidRPr="00A1481F">
        <w:rPr>
          <w:sz w:val="22"/>
        </w:rPr>
        <w:t>L’istruzione della nostra questione non può che avvantaggiarsi di questa riconduzione dell’interesse teologico al suo luogo proprio… Si indugerà legittimamente sul concetto di religione in quanto esso risulta determinante in ordine alla comprensione della fede cristiana stessa. In questa prospettiva allora il nodo teoretico decisivo sembra consistere nel rapporto tra l’antropologico e il teologico; rapporto che deve configurarsi nel superamento dell’</w:t>
      </w:r>
      <w:proofErr w:type="spellStart"/>
      <w:r w:rsidRPr="00A1481F">
        <w:rPr>
          <w:sz w:val="22"/>
        </w:rPr>
        <w:t>estrinsecismo</w:t>
      </w:r>
      <w:proofErr w:type="spellEnd"/>
      <w:r w:rsidRPr="00A1481F">
        <w:rPr>
          <w:sz w:val="22"/>
        </w:rPr>
        <w:t xml:space="preserve"> consensualmente denunciato. Il plesso di domande da affrontare si presenta in questi termini: come si articola il rapporto nella figura propria della fede cristiana? A partire dalla confessione della singolarità di Gesù quale rapporto va riconosciuto tra </w:t>
      </w:r>
      <w:r>
        <w:rPr>
          <w:sz w:val="22"/>
        </w:rPr>
        <w:t>l’antropologico e il teologico?</w:t>
      </w:r>
      <w:r w:rsidRPr="00E37171">
        <w:rPr>
          <w:rStyle w:val="Rimandonotaapidipagina"/>
          <w:sz w:val="20"/>
        </w:rPr>
        <w:footnoteReference w:id="8"/>
      </w:r>
      <w:r w:rsidRPr="00A1481F">
        <w:rPr>
          <w:sz w:val="22"/>
        </w:rPr>
        <w:t>.</w:t>
      </w:r>
    </w:p>
    <w:p w:rsidR="002F29A7" w:rsidRPr="00EF3184" w:rsidRDefault="002F29A7" w:rsidP="002F29A7">
      <w:pPr>
        <w:ind w:left="170" w:right="113"/>
        <w:jc w:val="both"/>
        <w:rPr>
          <w:sz w:val="22"/>
        </w:rPr>
      </w:pPr>
    </w:p>
    <w:p w:rsidR="002F29A7" w:rsidRDefault="002F29A7" w:rsidP="002F29A7">
      <w:pPr>
        <w:jc w:val="both"/>
      </w:pPr>
      <w:r w:rsidRPr="00AE5B64">
        <w:rPr>
          <w:b/>
        </w:rPr>
        <w:lastRenderedPageBreak/>
        <w:t>3.</w:t>
      </w:r>
      <w:r>
        <w:t xml:space="preserve"> E’ alla luce di queste precisazioni sul rapporto tra fede e religione nell’autocomprensione del cristianesimo, che risultano illuminanti alcune formule di </w:t>
      </w:r>
      <w:r w:rsidRPr="00AD4A84">
        <w:rPr>
          <w:i/>
        </w:rPr>
        <w:t xml:space="preserve">A. </w:t>
      </w:r>
      <w:proofErr w:type="spellStart"/>
      <w:r w:rsidRPr="00AD4A84">
        <w:rPr>
          <w:i/>
        </w:rPr>
        <w:t>Bertuletti</w:t>
      </w:r>
      <w:proofErr w:type="spellEnd"/>
      <w:r w:rsidRPr="00E37171">
        <w:rPr>
          <w:rStyle w:val="Rimandonotaapidipagina"/>
          <w:sz w:val="20"/>
        </w:rPr>
        <w:footnoteReference w:id="9"/>
      </w:r>
      <w:r>
        <w:t xml:space="preserve">. </w:t>
      </w:r>
    </w:p>
    <w:p w:rsidR="002F29A7" w:rsidRDefault="002F29A7" w:rsidP="002F29A7">
      <w:pPr>
        <w:pStyle w:val="Citazione"/>
        <w:spacing w:before="0" w:after="0" w:line="240" w:lineRule="auto"/>
        <w:rPr>
          <w:sz w:val="22"/>
        </w:rPr>
      </w:pPr>
    </w:p>
    <w:p w:rsidR="002F29A7" w:rsidRDefault="002F29A7" w:rsidP="002F29A7">
      <w:pPr>
        <w:pStyle w:val="Citazione"/>
        <w:spacing w:before="0" w:after="0" w:line="240" w:lineRule="auto"/>
        <w:rPr>
          <w:sz w:val="22"/>
        </w:rPr>
      </w:pPr>
      <w:r w:rsidRPr="00BA2E11">
        <w:rPr>
          <w:sz w:val="22"/>
        </w:rPr>
        <w:t>Il pluralismo religioso è questione teologicamente pertinente se tra la fede e l’esperienza religiosa esiste un rapporto non estrinseco, tale cioè per cui non si può pensare l’esperienza religiosa nel suo fondamento veritativo senza istituire la problematica della fede e inversamente non si può pensare la fede nella sua dimensione antropologica senza ritrovare la forma religiosa dell’esperienza. La distinzione fede e religione corrisponde alla distinzione fra i due aspetti, teologico e antropologico, costitutivi del rapporto dell’uomo con la trascendenza. Perciò essa è lo strumento appropriato per giustificare la singolarità della fede cristiana nel contesto del pluralismo religioso… Poiché l’esperienza della trascendenza è già sempre mediata religiosamente, il riconoscimento dell’assolutezza della verità cristologia non può prodursi che “dentro” l’esperienza religiosa, nella percezione dell’attitudine che essa ha di “inverarla”, cioè insieme di denunciarne l’ambiguità e di portare alla luc</w:t>
      </w:r>
      <w:r>
        <w:rPr>
          <w:sz w:val="22"/>
        </w:rPr>
        <w:t>e il principio della sua verità</w:t>
      </w:r>
      <w:r w:rsidRPr="00E37171">
        <w:rPr>
          <w:rStyle w:val="Rimandonotaapidipagina"/>
          <w:sz w:val="20"/>
        </w:rPr>
        <w:footnoteReference w:id="10"/>
      </w:r>
      <w:r w:rsidRPr="00BA2E11">
        <w:rPr>
          <w:sz w:val="22"/>
        </w:rPr>
        <w:t>.</w:t>
      </w:r>
    </w:p>
    <w:p w:rsidR="002F29A7" w:rsidRPr="00AE5B64" w:rsidRDefault="002F29A7" w:rsidP="002F29A7">
      <w:pPr>
        <w:pStyle w:val="Corpotesto"/>
        <w:spacing w:after="0"/>
      </w:pPr>
    </w:p>
    <w:p w:rsidR="002F29A7" w:rsidRDefault="002F29A7" w:rsidP="002F29A7">
      <w:pPr>
        <w:jc w:val="both"/>
      </w:pPr>
      <w:r>
        <w:t xml:space="preserve">E’ forse possibile immaginare più concretamente questo inveramento della religione nella fede, al di là delle formule un po’ astratte e di principio sopra usate, con le parole di </w:t>
      </w:r>
      <w:r w:rsidRPr="00AB389F">
        <w:rPr>
          <w:i/>
        </w:rPr>
        <w:t>G. Angelini</w:t>
      </w:r>
      <w:r>
        <w:t>: «La verità della religione, e più precisamente dei riti e dei simboli in cui essa si oggettiva, consiste appunto nell’attitudine di tali riti e simboli a istituire sempre da capo le condizioni dell’atto personale dell’uomo, mediante il quale soltanto può realizzarsi il suo rapporto nei confronti di Dio. La religione rimanda in tal senso ad altro da sé. Rimanda in ultima istanza a Dio stesso, ovviamente. Rimanda più prossimamente a quell’atto dell’uomo, che soltanto a fronte di Dio può essere posto, e mediante il quale soltanto Dio può essere “conosciuto”. Appunto attraverso un tale atto della sua libertà l’uomo trova poi anche la propria identità. Tale atto, comunque obiettivamente necessario, ha la figura dell’atto di fede»</w:t>
      </w:r>
      <w:r w:rsidRPr="00E37171">
        <w:rPr>
          <w:rStyle w:val="Rimandonotaapidipagina"/>
          <w:sz w:val="20"/>
        </w:rPr>
        <w:footnoteReference w:id="11"/>
      </w:r>
      <w:r>
        <w:t>.</w:t>
      </w:r>
    </w:p>
    <w:p w:rsidR="002F29A7" w:rsidRDefault="002F29A7" w:rsidP="002F29A7">
      <w:pPr>
        <w:jc w:val="both"/>
      </w:pPr>
    </w:p>
    <w:p w:rsidR="002F29A7" w:rsidRDefault="002F29A7" w:rsidP="004112B6">
      <w:pPr>
        <w:jc w:val="center"/>
      </w:pPr>
      <w:r w:rsidRPr="00DE39DE">
        <w:rPr>
          <w:i/>
        </w:rPr>
        <w:t>Due istanze provocatorie di J. Ratzinger</w:t>
      </w:r>
    </w:p>
    <w:p w:rsidR="002F29A7" w:rsidRDefault="002F29A7" w:rsidP="002F29A7">
      <w:pPr>
        <w:jc w:val="both"/>
      </w:pPr>
    </w:p>
    <w:p w:rsidR="002F29A7" w:rsidRDefault="002F29A7" w:rsidP="002F29A7">
      <w:pPr>
        <w:jc w:val="both"/>
      </w:pPr>
      <w:r>
        <w:t xml:space="preserve">Rispetto alla problematica del rapporto tra fede e religione fin qui svolta è istruttivo raccogliere due istanze che l’allora prefetto della Congregazione per </w:t>
      </w:r>
      <w:smartTag w:uri="urn:schemas-microsoft-com:office:smarttags" w:element="PersonName">
        <w:smartTagPr>
          <w:attr w:name="ProductID" w:val="la Dottrina"/>
        </w:smartTagPr>
        <w:r>
          <w:t>la Dottrina</w:t>
        </w:r>
      </w:smartTag>
      <w:r>
        <w:t xml:space="preserve"> della Fede ha fatto valere in alcuni saggi sul rapporto tra cristianesimo e religioni. Una prima istanza chiede di verificare l’autocomprensione del cristianesimo delle origini che di fatto si è misurato più con la filosofia che non con le religioni dell’epoca, avendo la pretesa di introdurre il culto del vero Dio e quindi </w:t>
      </w:r>
      <w:r w:rsidRPr="00AB389F">
        <w:rPr>
          <w:i/>
        </w:rPr>
        <w:t>la vera religione</w:t>
      </w:r>
      <w:r>
        <w:t>. La seconda istanza è quella di contestualizzare in una concreta storia universale delle religioni il ruolo e l’identità del cristianesimo, poiché il rapporto con le religioni non va ricondotto a una vaga idea del rapporto tra fede e religione, ma va collocato in una dinamica storica concreta e irreversibile. Di fatto le religioni, incluso il cristianesimo, esistono sempre in un determinato intreccio di relazioni, in cui si determinano e condizionano a vicenda</w:t>
      </w:r>
      <w:r w:rsidRPr="00E37171">
        <w:rPr>
          <w:rStyle w:val="Rimandonotaapidipagina"/>
          <w:sz w:val="20"/>
        </w:rPr>
        <w:footnoteReference w:id="12"/>
      </w:r>
      <w:r>
        <w:t xml:space="preserve">. </w:t>
      </w:r>
    </w:p>
    <w:p w:rsidR="002F29A7" w:rsidRPr="00BA2E11" w:rsidRDefault="002F29A7" w:rsidP="002F29A7">
      <w:pPr>
        <w:pStyle w:val="Citazione"/>
        <w:ind w:left="0"/>
        <w:rPr>
          <w:sz w:val="24"/>
          <w:szCs w:val="24"/>
        </w:rPr>
      </w:pPr>
      <w:r w:rsidRPr="00BA2E11">
        <w:rPr>
          <w:sz w:val="24"/>
          <w:szCs w:val="24"/>
        </w:rPr>
        <w:t xml:space="preserve">1. </w:t>
      </w:r>
      <w:r w:rsidRPr="00BA2E11">
        <w:rPr>
          <w:i/>
          <w:sz w:val="24"/>
          <w:szCs w:val="24"/>
        </w:rPr>
        <w:t xml:space="preserve">La teologia cristiana tra mito e </w:t>
      </w:r>
      <w:r w:rsidRPr="00BA2E11">
        <w:rPr>
          <w:sz w:val="24"/>
          <w:szCs w:val="24"/>
        </w:rPr>
        <w:t>logos</w:t>
      </w:r>
      <w:r w:rsidRPr="00BA2E11">
        <w:rPr>
          <w:i/>
          <w:sz w:val="24"/>
          <w:szCs w:val="24"/>
        </w:rPr>
        <w:t>: un’importante scelta di campo</w:t>
      </w:r>
    </w:p>
    <w:p w:rsidR="002F29A7" w:rsidRPr="00904FAF" w:rsidRDefault="002F29A7" w:rsidP="002F29A7">
      <w:pPr>
        <w:pStyle w:val="Citazione"/>
        <w:spacing w:before="0" w:after="0" w:line="240" w:lineRule="auto"/>
        <w:ind w:left="0"/>
        <w:rPr>
          <w:sz w:val="24"/>
          <w:szCs w:val="24"/>
        </w:rPr>
      </w:pPr>
      <w:r w:rsidRPr="00904FAF">
        <w:rPr>
          <w:sz w:val="24"/>
          <w:szCs w:val="24"/>
        </w:rPr>
        <w:t xml:space="preserve">«Che io sappia non esiste alcun testo del cristianesimo antico che getti sulla questione tanta luce quanto il confronto di Agostino con la filosofia religiosa del “più erudito tra i romani”, Marco Terenzio </w:t>
      </w:r>
      <w:proofErr w:type="spellStart"/>
      <w:r w:rsidRPr="00904FAF">
        <w:rPr>
          <w:sz w:val="24"/>
          <w:szCs w:val="24"/>
        </w:rPr>
        <w:t>Varrone</w:t>
      </w:r>
      <w:proofErr w:type="spellEnd"/>
      <w:r w:rsidRPr="00904FAF">
        <w:rPr>
          <w:sz w:val="24"/>
          <w:szCs w:val="24"/>
        </w:rPr>
        <w:t xml:space="preserve"> (116-</w:t>
      </w:r>
      <w:smartTag w:uri="urn:schemas-microsoft-com:office:smarttags" w:element="metricconverter">
        <w:smartTagPr>
          <w:attr w:name="ProductID" w:val="127 a"/>
        </w:smartTagPr>
        <w:r w:rsidRPr="00904FAF">
          <w:rPr>
            <w:sz w:val="24"/>
            <w:szCs w:val="24"/>
          </w:rPr>
          <w:t>127 a</w:t>
        </w:r>
      </w:smartTag>
      <w:r w:rsidRPr="00904FAF">
        <w:rPr>
          <w:sz w:val="24"/>
          <w:szCs w:val="24"/>
        </w:rPr>
        <w:t xml:space="preserve">.C.). </w:t>
      </w:r>
      <w:proofErr w:type="spellStart"/>
      <w:r w:rsidRPr="00904FAF">
        <w:rPr>
          <w:sz w:val="24"/>
          <w:szCs w:val="24"/>
        </w:rPr>
        <w:t>Varrone</w:t>
      </w:r>
      <w:proofErr w:type="spellEnd"/>
      <w:r w:rsidRPr="00904FAF">
        <w:rPr>
          <w:sz w:val="24"/>
          <w:szCs w:val="24"/>
        </w:rPr>
        <w:t xml:space="preserve"> condivideva l’immagine stoica di Dio e del mondo; definì Dio come… l’anima che regge il mondo tramite il movimento e la ragione. Questa anima del mondo, tuttavia, non riceve alcun culto. Non è oggetto di </w:t>
      </w:r>
      <w:proofErr w:type="spellStart"/>
      <w:r w:rsidRPr="00904FAF">
        <w:rPr>
          <w:i/>
          <w:sz w:val="24"/>
          <w:szCs w:val="24"/>
        </w:rPr>
        <w:t>religio</w:t>
      </w:r>
      <w:proofErr w:type="spellEnd"/>
      <w:r w:rsidRPr="00904FAF">
        <w:rPr>
          <w:sz w:val="24"/>
          <w:szCs w:val="24"/>
        </w:rPr>
        <w:t xml:space="preserve">. In altri termini: verità e religione, conoscenza razionale e ordinamento cultuale sono situati su due piani totalmente diversi. </w:t>
      </w:r>
      <w:r w:rsidRPr="00904FAF">
        <w:rPr>
          <w:sz w:val="24"/>
          <w:szCs w:val="24"/>
        </w:rPr>
        <w:lastRenderedPageBreak/>
        <w:t xml:space="preserve">L’ordinamento cultuale, il mondo concreto della religione, non appartiene all’ordine della </w:t>
      </w:r>
      <w:r w:rsidRPr="00904FAF">
        <w:rPr>
          <w:i/>
          <w:sz w:val="24"/>
          <w:szCs w:val="24"/>
        </w:rPr>
        <w:t>res</w:t>
      </w:r>
      <w:r w:rsidRPr="00904FAF">
        <w:rPr>
          <w:sz w:val="24"/>
          <w:szCs w:val="24"/>
        </w:rPr>
        <w:t xml:space="preserve">, della realtà come tale, ma a quello dei </w:t>
      </w:r>
      <w:proofErr w:type="spellStart"/>
      <w:r w:rsidRPr="00904FAF">
        <w:rPr>
          <w:i/>
          <w:sz w:val="24"/>
          <w:szCs w:val="24"/>
        </w:rPr>
        <w:t>mores</w:t>
      </w:r>
      <w:proofErr w:type="spellEnd"/>
      <w:r w:rsidRPr="00904FAF">
        <w:rPr>
          <w:sz w:val="24"/>
          <w:szCs w:val="24"/>
        </w:rPr>
        <w:t xml:space="preserve"> – dei costumi. Non sono gli </w:t>
      </w:r>
      <w:proofErr w:type="spellStart"/>
      <w:r w:rsidRPr="00904FAF">
        <w:rPr>
          <w:sz w:val="24"/>
          <w:szCs w:val="24"/>
        </w:rPr>
        <w:t>dèi</w:t>
      </w:r>
      <w:proofErr w:type="spellEnd"/>
      <w:r w:rsidRPr="00904FAF">
        <w:rPr>
          <w:sz w:val="24"/>
          <w:szCs w:val="24"/>
        </w:rPr>
        <w:t xml:space="preserve"> che hanno creato lo Stato, è lo Stato che ha istituito gli </w:t>
      </w:r>
      <w:proofErr w:type="spellStart"/>
      <w:r w:rsidRPr="00904FAF">
        <w:rPr>
          <w:sz w:val="24"/>
          <w:szCs w:val="24"/>
        </w:rPr>
        <w:t>dèi</w:t>
      </w:r>
      <w:proofErr w:type="spellEnd"/>
      <w:r w:rsidRPr="00904FAF">
        <w:rPr>
          <w:sz w:val="24"/>
          <w:szCs w:val="24"/>
        </w:rPr>
        <w:t xml:space="preserve">, la cui venerazione è essenziale per l’ordine dello Stato e per il buon comportamento dei cittadini. La religione è nella sua essenza un fenomeno politico. </w:t>
      </w:r>
      <w:proofErr w:type="spellStart"/>
      <w:r w:rsidRPr="00904FAF">
        <w:rPr>
          <w:sz w:val="24"/>
          <w:szCs w:val="24"/>
        </w:rPr>
        <w:t>Varrone</w:t>
      </w:r>
      <w:proofErr w:type="spellEnd"/>
      <w:r w:rsidRPr="00904FAF">
        <w:rPr>
          <w:sz w:val="24"/>
          <w:szCs w:val="24"/>
        </w:rPr>
        <w:t xml:space="preserve"> distingue così tre tipi di teologia, intendendo con “teologi” la </w:t>
      </w:r>
      <w:r w:rsidRPr="00904FAF">
        <w:rPr>
          <w:i/>
          <w:sz w:val="24"/>
          <w:szCs w:val="24"/>
        </w:rPr>
        <w:t xml:space="preserve">ratio, </w:t>
      </w:r>
      <w:proofErr w:type="spellStart"/>
      <w:r w:rsidRPr="00904FAF">
        <w:rPr>
          <w:i/>
          <w:sz w:val="24"/>
          <w:szCs w:val="24"/>
        </w:rPr>
        <w:t>quae</w:t>
      </w:r>
      <w:proofErr w:type="spellEnd"/>
      <w:r w:rsidRPr="00904FAF">
        <w:rPr>
          <w:i/>
          <w:sz w:val="24"/>
          <w:szCs w:val="24"/>
        </w:rPr>
        <w:t xml:space="preserve"> de </w:t>
      </w:r>
      <w:proofErr w:type="spellStart"/>
      <w:r w:rsidRPr="00904FAF">
        <w:rPr>
          <w:i/>
          <w:sz w:val="24"/>
          <w:szCs w:val="24"/>
        </w:rPr>
        <w:t>diis</w:t>
      </w:r>
      <w:proofErr w:type="spellEnd"/>
      <w:r w:rsidRPr="00904FAF">
        <w:rPr>
          <w:i/>
          <w:sz w:val="24"/>
          <w:szCs w:val="24"/>
        </w:rPr>
        <w:t xml:space="preserve"> </w:t>
      </w:r>
      <w:proofErr w:type="spellStart"/>
      <w:r w:rsidRPr="00904FAF">
        <w:rPr>
          <w:i/>
          <w:sz w:val="24"/>
          <w:szCs w:val="24"/>
        </w:rPr>
        <w:t>explicatur</w:t>
      </w:r>
      <w:proofErr w:type="spellEnd"/>
      <w:r w:rsidRPr="00904FAF">
        <w:rPr>
          <w:sz w:val="24"/>
          <w:szCs w:val="24"/>
        </w:rPr>
        <w:t xml:space="preserve"> – la comprensione e la spiegazione del divino, potremmo tradurre. Tali sono la </w:t>
      </w:r>
      <w:proofErr w:type="spellStart"/>
      <w:r w:rsidRPr="00904FAF">
        <w:rPr>
          <w:i/>
          <w:sz w:val="24"/>
          <w:szCs w:val="24"/>
        </w:rPr>
        <w:t>theologia</w:t>
      </w:r>
      <w:proofErr w:type="spellEnd"/>
      <w:r w:rsidRPr="00904FAF">
        <w:rPr>
          <w:i/>
          <w:sz w:val="24"/>
          <w:szCs w:val="24"/>
        </w:rPr>
        <w:t xml:space="preserve"> </w:t>
      </w:r>
      <w:proofErr w:type="spellStart"/>
      <w:r w:rsidRPr="00904FAF">
        <w:rPr>
          <w:i/>
          <w:sz w:val="24"/>
          <w:szCs w:val="24"/>
        </w:rPr>
        <w:t>mythica</w:t>
      </w:r>
      <w:proofErr w:type="spellEnd"/>
      <w:r w:rsidRPr="00904FAF">
        <w:rPr>
          <w:sz w:val="24"/>
          <w:szCs w:val="24"/>
        </w:rPr>
        <w:t xml:space="preserve">, la </w:t>
      </w:r>
      <w:proofErr w:type="spellStart"/>
      <w:r w:rsidRPr="00904FAF">
        <w:rPr>
          <w:i/>
          <w:sz w:val="24"/>
          <w:szCs w:val="24"/>
        </w:rPr>
        <w:t>theologia</w:t>
      </w:r>
      <w:proofErr w:type="spellEnd"/>
      <w:r w:rsidRPr="00904FAF">
        <w:rPr>
          <w:i/>
          <w:sz w:val="24"/>
          <w:szCs w:val="24"/>
        </w:rPr>
        <w:t xml:space="preserve"> </w:t>
      </w:r>
      <w:proofErr w:type="spellStart"/>
      <w:r w:rsidRPr="00904FAF">
        <w:rPr>
          <w:i/>
          <w:sz w:val="24"/>
          <w:szCs w:val="24"/>
        </w:rPr>
        <w:t>civilis</w:t>
      </w:r>
      <w:proofErr w:type="spellEnd"/>
      <w:r w:rsidRPr="00904FAF">
        <w:rPr>
          <w:sz w:val="24"/>
          <w:szCs w:val="24"/>
        </w:rPr>
        <w:t xml:space="preserve"> e la </w:t>
      </w:r>
      <w:proofErr w:type="spellStart"/>
      <w:r w:rsidRPr="00904FAF">
        <w:rPr>
          <w:i/>
          <w:sz w:val="24"/>
          <w:szCs w:val="24"/>
        </w:rPr>
        <w:t>theologia</w:t>
      </w:r>
      <w:proofErr w:type="spellEnd"/>
      <w:r w:rsidRPr="00904FAF">
        <w:rPr>
          <w:i/>
          <w:sz w:val="24"/>
          <w:szCs w:val="24"/>
        </w:rPr>
        <w:t xml:space="preserve"> </w:t>
      </w:r>
      <w:proofErr w:type="spellStart"/>
      <w:r w:rsidRPr="00904FAF">
        <w:rPr>
          <w:i/>
          <w:sz w:val="24"/>
          <w:szCs w:val="24"/>
        </w:rPr>
        <w:t>naturalis</w:t>
      </w:r>
      <w:proofErr w:type="spellEnd"/>
      <w:r w:rsidRPr="00904FAF">
        <w:rPr>
          <w:i/>
          <w:sz w:val="24"/>
          <w:szCs w:val="24"/>
        </w:rPr>
        <w:t xml:space="preserve"> (</w:t>
      </w:r>
      <w:proofErr w:type="spellStart"/>
      <w:r w:rsidRPr="00904FAF">
        <w:rPr>
          <w:i/>
          <w:sz w:val="24"/>
          <w:szCs w:val="24"/>
        </w:rPr>
        <w:t>physiké</w:t>
      </w:r>
      <w:proofErr w:type="spellEnd"/>
      <w:r w:rsidRPr="00904FAF">
        <w:rPr>
          <w:i/>
          <w:sz w:val="24"/>
          <w:szCs w:val="24"/>
        </w:rPr>
        <w:t>)</w:t>
      </w:r>
      <w:r w:rsidRPr="00904FAF">
        <w:rPr>
          <w:sz w:val="24"/>
          <w:szCs w:val="24"/>
        </w:rPr>
        <w:t>. […] (</w:t>
      </w:r>
      <w:r w:rsidRPr="00904FAF">
        <w:rPr>
          <w:i/>
          <w:sz w:val="24"/>
          <w:szCs w:val="24"/>
        </w:rPr>
        <w:t>I soggetti</w:t>
      </w:r>
      <w:r w:rsidRPr="00904FAF">
        <w:rPr>
          <w:sz w:val="24"/>
          <w:szCs w:val="24"/>
        </w:rPr>
        <w:t xml:space="preserve">) I teologi della teologia mitica sono i poeti, perché hanno composto canti sugli </w:t>
      </w:r>
      <w:proofErr w:type="spellStart"/>
      <w:r w:rsidRPr="00904FAF">
        <w:rPr>
          <w:sz w:val="24"/>
          <w:szCs w:val="24"/>
        </w:rPr>
        <w:t>dèi</w:t>
      </w:r>
      <w:proofErr w:type="spellEnd"/>
      <w:r w:rsidRPr="00904FAF">
        <w:rPr>
          <w:sz w:val="24"/>
          <w:szCs w:val="24"/>
        </w:rPr>
        <w:t xml:space="preserve"> e sono così cantori della divinità; i teologi della teologia fisica o naturale sono i filosofi, cioè gli eruditi, i pensatori che, andando al di là delle consuetudini si interrogano sulla realtà, sulla verità; i teologi della teologia civile sono i popoli, che hanno scelto di non collegarsi con i filosofi (con la verità), ma con i poeti, con le loro visioni poetiche, con le loro immagini e con le loro figure… </w:t>
      </w:r>
      <w:r w:rsidRPr="00904FAF">
        <w:rPr>
          <w:i/>
          <w:sz w:val="24"/>
          <w:szCs w:val="24"/>
        </w:rPr>
        <w:t>(I luoghi)</w:t>
      </w:r>
      <w:r w:rsidRPr="00904FAF">
        <w:rPr>
          <w:sz w:val="24"/>
          <w:szCs w:val="24"/>
        </w:rPr>
        <w:t xml:space="preserve"> Alla teologia mitica corrisponde il teatro, che aveva senz’altro un rango religioso, cultuale; secondo l’opinione comune, gli spettacoli erano istituiti a Roma per ordine degli </w:t>
      </w:r>
      <w:proofErr w:type="spellStart"/>
      <w:r w:rsidRPr="00904FAF">
        <w:rPr>
          <w:sz w:val="24"/>
          <w:szCs w:val="24"/>
        </w:rPr>
        <w:t>dèi</w:t>
      </w:r>
      <w:proofErr w:type="spellEnd"/>
      <w:r w:rsidRPr="00904FAF">
        <w:rPr>
          <w:sz w:val="24"/>
          <w:szCs w:val="24"/>
        </w:rPr>
        <w:t>; alla teologia politica corrisponde l’</w:t>
      </w:r>
      <w:proofErr w:type="spellStart"/>
      <w:r w:rsidRPr="00904FAF">
        <w:rPr>
          <w:i/>
          <w:sz w:val="24"/>
          <w:szCs w:val="24"/>
        </w:rPr>
        <w:t>urbs</w:t>
      </w:r>
      <w:proofErr w:type="spellEnd"/>
      <w:r w:rsidRPr="00904FAF">
        <w:rPr>
          <w:sz w:val="24"/>
          <w:szCs w:val="24"/>
        </w:rPr>
        <w:t xml:space="preserve">, lo spazio della teologia naturale sarebbe il </w:t>
      </w:r>
      <w:proofErr w:type="spellStart"/>
      <w:r w:rsidRPr="00904FAF">
        <w:rPr>
          <w:sz w:val="24"/>
          <w:szCs w:val="24"/>
        </w:rPr>
        <w:t>kosmos</w:t>
      </w:r>
      <w:proofErr w:type="spellEnd"/>
      <w:r w:rsidRPr="00904FAF">
        <w:rPr>
          <w:sz w:val="24"/>
          <w:szCs w:val="24"/>
        </w:rPr>
        <w:t>. (</w:t>
      </w:r>
      <w:r w:rsidRPr="00904FAF">
        <w:rPr>
          <w:i/>
          <w:sz w:val="24"/>
          <w:szCs w:val="24"/>
        </w:rPr>
        <w:t>I contenuti</w:t>
      </w:r>
      <w:r w:rsidRPr="00904FAF">
        <w:rPr>
          <w:sz w:val="24"/>
          <w:szCs w:val="24"/>
        </w:rPr>
        <w:t xml:space="preserve">) La teologia mitica avrebbe come contenuto le favole sugli </w:t>
      </w:r>
      <w:proofErr w:type="spellStart"/>
      <w:r w:rsidRPr="00904FAF">
        <w:rPr>
          <w:sz w:val="24"/>
          <w:szCs w:val="24"/>
        </w:rPr>
        <w:t>dèi</w:t>
      </w:r>
      <w:proofErr w:type="spellEnd"/>
      <w:r w:rsidRPr="00904FAF">
        <w:rPr>
          <w:sz w:val="24"/>
          <w:szCs w:val="24"/>
        </w:rPr>
        <w:t xml:space="preserve">, create dai poeti; la teologia di Stato il culto; la teologia naturale risponderebbe alla domanda su chi sono gli </w:t>
      </w:r>
      <w:proofErr w:type="spellStart"/>
      <w:r w:rsidRPr="00904FAF">
        <w:rPr>
          <w:sz w:val="24"/>
          <w:szCs w:val="24"/>
        </w:rPr>
        <w:t>dèi</w:t>
      </w:r>
      <w:proofErr w:type="spellEnd"/>
      <w:r w:rsidRPr="00904FAF">
        <w:rPr>
          <w:sz w:val="24"/>
          <w:szCs w:val="24"/>
        </w:rPr>
        <w:t xml:space="preserve">… Questa teologia naturale è una </w:t>
      </w:r>
      <w:proofErr w:type="spellStart"/>
      <w:r w:rsidRPr="00904FAF">
        <w:rPr>
          <w:sz w:val="24"/>
          <w:szCs w:val="24"/>
        </w:rPr>
        <w:t>demitologizzazione</w:t>
      </w:r>
      <w:proofErr w:type="spellEnd"/>
      <w:r w:rsidRPr="00904FAF">
        <w:rPr>
          <w:sz w:val="24"/>
          <w:szCs w:val="24"/>
        </w:rPr>
        <w:t xml:space="preserve">, o meglio una razionalità, che guarda criticamente cosa c’è dietro l’apparenza mitica e la dissolve attraverso la conoscenza scientifico-naturale. Culto e conoscenza risultano divergenti l’uno dall’altra. Il culto resta necessario fintanto che è una questione di utilità politica; la conoscenza ha un effetto distruttore sulla religione e non dovrebbe quindi essere messa sulla pubblica piazza… Il contenuto delle diverse teologie da che tipo di realtà è costituito? La risposta di </w:t>
      </w:r>
      <w:proofErr w:type="spellStart"/>
      <w:r w:rsidRPr="00904FAF">
        <w:rPr>
          <w:sz w:val="24"/>
          <w:szCs w:val="24"/>
        </w:rPr>
        <w:t>Varrone</w:t>
      </w:r>
      <w:proofErr w:type="spellEnd"/>
      <w:r w:rsidRPr="00904FAF">
        <w:rPr>
          <w:sz w:val="24"/>
          <w:szCs w:val="24"/>
        </w:rPr>
        <w:t xml:space="preserve"> è questa: la teologia naturale si occupa della “natura degli </w:t>
      </w:r>
      <w:proofErr w:type="spellStart"/>
      <w:r w:rsidRPr="00904FAF">
        <w:rPr>
          <w:sz w:val="24"/>
          <w:szCs w:val="24"/>
        </w:rPr>
        <w:t>dèi</w:t>
      </w:r>
      <w:proofErr w:type="spellEnd"/>
      <w:r w:rsidRPr="00904FAF">
        <w:rPr>
          <w:sz w:val="24"/>
          <w:szCs w:val="24"/>
        </w:rPr>
        <w:t xml:space="preserve">” (che di fatto non esistono), le altre due teologie trattano dei </w:t>
      </w:r>
      <w:r w:rsidRPr="004112B6">
        <w:rPr>
          <w:i/>
          <w:sz w:val="24"/>
          <w:szCs w:val="24"/>
        </w:rPr>
        <w:t xml:space="preserve">divina </w:t>
      </w:r>
      <w:proofErr w:type="spellStart"/>
      <w:r w:rsidRPr="004112B6">
        <w:rPr>
          <w:i/>
          <w:sz w:val="24"/>
          <w:szCs w:val="24"/>
        </w:rPr>
        <w:t>instituta</w:t>
      </w:r>
      <w:proofErr w:type="spellEnd"/>
      <w:r w:rsidRPr="004112B6">
        <w:rPr>
          <w:i/>
          <w:sz w:val="24"/>
          <w:szCs w:val="24"/>
        </w:rPr>
        <w:t xml:space="preserve"> </w:t>
      </w:r>
      <w:proofErr w:type="spellStart"/>
      <w:r w:rsidRPr="004112B6">
        <w:rPr>
          <w:i/>
          <w:sz w:val="24"/>
          <w:szCs w:val="24"/>
        </w:rPr>
        <w:t>hominum</w:t>
      </w:r>
      <w:proofErr w:type="spellEnd"/>
      <w:r w:rsidRPr="00904FAF">
        <w:rPr>
          <w:sz w:val="24"/>
          <w:szCs w:val="24"/>
        </w:rPr>
        <w:t xml:space="preserve"> – delle istituzioni divine degli uomini. […] Così </w:t>
      </w:r>
      <w:proofErr w:type="spellStart"/>
      <w:r w:rsidRPr="00904FAF">
        <w:rPr>
          <w:i/>
          <w:sz w:val="24"/>
          <w:szCs w:val="24"/>
        </w:rPr>
        <w:t>religio</w:t>
      </w:r>
      <w:proofErr w:type="spellEnd"/>
      <w:r w:rsidRPr="00904FAF">
        <w:rPr>
          <w:sz w:val="24"/>
          <w:szCs w:val="24"/>
        </w:rPr>
        <w:t xml:space="preserve"> e conoscenza razionale del reale si configurano come due sfere separate, l’una accanto all’altra. La </w:t>
      </w:r>
      <w:proofErr w:type="spellStart"/>
      <w:r w:rsidRPr="00904FAF">
        <w:rPr>
          <w:i/>
          <w:sz w:val="24"/>
          <w:szCs w:val="24"/>
        </w:rPr>
        <w:t>religio</w:t>
      </w:r>
      <w:proofErr w:type="spellEnd"/>
      <w:r w:rsidRPr="00904FAF">
        <w:rPr>
          <w:sz w:val="24"/>
          <w:szCs w:val="24"/>
        </w:rPr>
        <w:t xml:space="preserve"> non trae la sua giustificazione dalla realtà del divino, ma dalla sua funzione politica. E’ un’istituzione di cui lo Stato ha bisogno per la sua esistenza. […] Torniamo dunque ad Agostino. Dov’è che egli situa il cristianesimo nella triade varroniana delle religioni? Quello che stupisce è che senza la minima esitazione Agostino attribuisce al cristianesimo il suo posto nell’ambito della “teologia fisica”, nell’ambito della razionalità filosofica. </w:t>
      </w:r>
      <w:r w:rsidRPr="00904FAF">
        <w:rPr>
          <w:i/>
          <w:sz w:val="24"/>
          <w:szCs w:val="24"/>
        </w:rPr>
        <w:t>Il cristianesimo ha, in questa prospettiva, i suoi precursori e la sua preparazione nella razionalità filosofica, non nelle religioni</w:t>
      </w:r>
      <w:r w:rsidRPr="00904FAF">
        <w:rPr>
          <w:sz w:val="24"/>
          <w:szCs w:val="24"/>
        </w:rPr>
        <w:t xml:space="preserve">. Il cristianesimo non è affatto basato… su immagini e presentimenti mitici, la cui giustificazione si trova in ultima istanza nella loro utilità politica, ma si richiama invece a quel divino che può essere percepito dall’analisi razionale della realtà. In altri termini: Agostino identifica il monoteismo biblico con le vedute filosofiche sulla fondazione del mondo che si sono formate, secondo diverse varianti, nella filosofia antica. E’ questo che si intende quando il cristianesimo… si presenta con la rivendicazione di essere la </w:t>
      </w:r>
      <w:proofErr w:type="spellStart"/>
      <w:r w:rsidRPr="00904FAF">
        <w:rPr>
          <w:i/>
          <w:sz w:val="24"/>
          <w:szCs w:val="24"/>
        </w:rPr>
        <w:t>religio</w:t>
      </w:r>
      <w:proofErr w:type="spellEnd"/>
      <w:r w:rsidRPr="00904FAF">
        <w:rPr>
          <w:sz w:val="24"/>
          <w:szCs w:val="24"/>
        </w:rPr>
        <w:t xml:space="preserve"> vera. Il che significa: la fede cristiana non si basa sulla poesia e la politica, queste due grandi fonti della religione; si basa sulla conoscenza. Venera quell’essere che sta a fondamento di tutto ciò che esiste, il “vero Dio”. Nel cristianesimo la razionalità è diventata religione, e non più il suo avversario. Perché ciò avvenisse, perché il cristianesimo si comprendesse come la vittoria della </w:t>
      </w:r>
      <w:proofErr w:type="spellStart"/>
      <w:r w:rsidRPr="00904FAF">
        <w:rPr>
          <w:sz w:val="24"/>
          <w:szCs w:val="24"/>
        </w:rPr>
        <w:t>demitologizzazione</w:t>
      </w:r>
      <w:proofErr w:type="spellEnd"/>
      <w:r w:rsidRPr="00904FAF">
        <w:rPr>
          <w:sz w:val="24"/>
          <w:szCs w:val="24"/>
        </w:rPr>
        <w:t>, la vittoria della conoscenza e con essa della verità, doveva necessariamente considerarsi come universale ed essere portato a tutti i popoli: non come una religione specifica che ne soppianta altre in forza di una specie di imperialismo religioso, ma come la verità che rende superflua l’apparenza. Ed è proprio questo che all’ampia tolleranza dei popoli doveva apparire come intollerabile, addirittura come nemico della religione, come “ateismo”; non si fondava sulla relatività e sulla convertibilità delle immagini, disturbava perciò soprattutto l’utilità politica delle religioni e metteva così in pericolo i fondamenti dello Stato, nel quale non voleva essere una religione tra le altre, ma la vittoria del pensiero sul mondo delle religioni»</w:t>
      </w:r>
      <w:r w:rsidRPr="00904FAF">
        <w:rPr>
          <w:rStyle w:val="Rimandonotaapidipagina"/>
          <w:sz w:val="24"/>
          <w:szCs w:val="24"/>
        </w:rPr>
        <w:footnoteReference w:id="13"/>
      </w:r>
      <w:r w:rsidRPr="00904FAF">
        <w:rPr>
          <w:sz w:val="24"/>
          <w:szCs w:val="24"/>
        </w:rPr>
        <w:t>.</w:t>
      </w:r>
    </w:p>
    <w:p w:rsidR="002F29A7" w:rsidRDefault="002F29A7" w:rsidP="002F29A7">
      <w:pPr>
        <w:pStyle w:val="Corpotesto"/>
        <w:spacing w:after="0"/>
        <w:jc w:val="both"/>
      </w:pPr>
    </w:p>
    <w:p w:rsidR="002F29A7" w:rsidRPr="00904FAF" w:rsidRDefault="002F29A7" w:rsidP="002F29A7">
      <w:pPr>
        <w:pStyle w:val="Corpotesto"/>
        <w:spacing w:after="0"/>
        <w:jc w:val="both"/>
      </w:pPr>
      <w:r w:rsidRPr="00904FAF">
        <w:t xml:space="preserve">L’indicazione preziosa e irrinunciabile di questo testo è che il rapporto tra il cristianesimo e le altre religioni passa attraverso la precisazione del rapporto tra rivelazione e discorso mitico, ovvero tra mito-logos e fede. E’ un problema storico-religioso prima che teorico, se è vero, come notava Ratzinger, che le prime definizioni cristiane della teologia si schieravano per il </w:t>
      </w:r>
      <w:r w:rsidRPr="00904FAF">
        <w:rPr>
          <w:i/>
        </w:rPr>
        <w:t>logos</w:t>
      </w:r>
      <w:r w:rsidRPr="00904FAF">
        <w:t xml:space="preserve"> contro il mito. Riguardo al rapporto tra discorso mitico e novità cristiana della rivelazione è necessario fare due precisazioni: una prima precisazione concerne il diverso funzionamento del discorso del mito rispetto alla parola della fede in ordine alla comprensione della realtà in cui il divino appare, mentre la seconda riguarda l’immagine di Dio propria del mito rispetto a quella della rivelazione.</w:t>
      </w:r>
    </w:p>
    <w:p w:rsidR="002F29A7" w:rsidRPr="00904FAF" w:rsidRDefault="002F29A7" w:rsidP="002F29A7">
      <w:pPr>
        <w:pStyle w:val="Corpotesto"/>
        <w:spacing w:after="0"/>
        <w:jc w:val="both"/>
      </w:pPr>
    </w:p>
    <w:p w:rsidR="002F29A7" w:rsidRPr="00904FAF" w:rsidRDefault="002F29A7" w:rsidP="002F29A7">
      <w:pPr>
        <w:pStyle w:val="Corpotesto"/>
        <w:spacing w:after="0"/>
        <w:jc w:val="both"/>
      </w:pPr>
      <w:r w:rsidRPr="00904FAF">
        <w:rPr>
          <w:i/>
        </w:rPr>
        <w:t>(a)</w:t>
      </w:r>
      <w:r w:rsidRPr="00904FAF">
        <w:t xml:space="preserve"> Al mito va riconosciuta una funzione pedagogica e fondatrice in ordine alla ricerca del senso della realtà. Questa duplice funzione fa del mito un elemento costitutivo di qualunque tentativo di rendere ragione del mondo in relazione alla sua origine, anzi al suo originarsi, ma soprattutto rivela il carattere di discorso esplicativo dei miti (specialmente di quelli cosmologici). Il discorso mitico è anzitutto una «pedagogia della trasgressione»: attraverso il mito il pensiero si distacca dalle cose nel loro apparire per guardare al di là di esse, passando dal visibile al non visibile. L’al di là che il pensiero cerca nel mito non può essere un universo estraneo e completamente separato da questo mondo, ma ne è piuttosto la condizione, il segreto ultimo che in esso si rende presente. Il tipo di discorso che riesce a compiere l’operazione di superamento del mondo presente verso il suo al di là, collegandolo, mediante un racconto, a un tempo originario in cui questo mondo è stato modellato a partire da un elemento anteriore, informe e indeterminato, è precisamente il mito cosmologico. Il tempo originario di cui il mito rende conto è lontano, irraggiungibile, eppure è presente, attivo ora: l’origine è ad un tempo distante ma presente, in un rapporto di discontinuità radicale rispetto a questo mondo, eppure sempre presente in questo mondo. Nel mito dunque il mondo visibile, inteso come totalità unitaria, è colto come termine di un’operazione originaria che si attualizza e che rimane collegata all’origine in un rapporto fondamentale di produzione. Il mito offre dunque un modello di superamento del mondo visibile verso la sua origine produttrice e una rappresentazione dell’al di là di questo mondo, che ne è la condizione al modo di una produzione. Il mito è un tipo di pensiero dell’originario che si sviluppa in un’operazione, cioè significa realizzando l’operazione che gli è propria secondo determinate regole. Solo usando le parole secondo queste regole si fa apparire il senso: ripetendo il racconto mitico, ossia narrandolo, si riproduce il senso delle cose, si attinge nel discorso la figura del mondo nella sua totalità organizzata e si comprende ciò che produce la realtà. In questo modo di funzionare il mito è una pedagogia del «pensiero della costituzione», che cerca di comprendere la realtà rifacendo il mondo nel suo originarsi, secondo regole capaci di rappresentare l’operazione che ha prodotto la figura del cosmo esistente</w:t>
      </w:r>
      <w:r w:rsidRPr="00904FAF">
        <w:rPr>
          <w:rStyle w:val="Rimandonotaapidipagina"/>
        </w:rPr>
        <w:footnoteReference w:id="14"/>
      </w:r>
      <w:r w:rsidRPr="00904FAF">
        <w:t xml:space="preserve">. Il mito offre in tal modo una teoria del reale che lo pensa come un cosmo nella forma di una genesi, ossia di un processo che si realizza per diffusione a livelli successivi sino alla figura attuale del mondo. Un mito quindi intende </w:t>
      </w:r>
      <w:proofErr w:type="spellStart"/>
      <w:r w:rsidRPr="00904FAF">
        <w:t>ri</w:t>
      </w:r>
      <w:proofErr w:type="spellEnd"/>
      <w:r w:rsidRPr="00904FAF">
        <w:t xml:space="preserve">-effettuare il cammino di produzione della realtà visibile dall’origine </w:t>
      </w:r>
      <w:r w:rsidRPr="00904FAF">
        <w:lastRenderedPageBreak/>
        <w:t xml:space="preserve">indeterminata al suo essere manifesto. Proprio perché pensiero del costituirsi del mondo, il mito è un pensiero fondatore, che fa emergere il senso della realtà in una visione unitaria. Ma queste potenzialità del mito in ordine al pensiero dell’originario ne costituiscono anche il limite rispetto all’esperienza della rivelazione e della fede. In quanto pensiero dell’originario che ne </w:t>
      </w:r>
      <w:proofErr w:type="spellStart"/>
      <w:r w:rsidRPr="00904FAF">
        <w:t>rieffettua</w:t>
      </w:r>
      <w:proofErr w:type="spellEnd"/>
      <w:r w:rsidRPr="00904FAF">
        <w:t xml:space="preserve"> l’operazione costitutiva dell’ordine attuale, il mito funziona al modo di un discorso, ossia un concatenamento regolato di concetti, secondo un certo tipo di legame necessitante. Inserendosi in questo discorso regolato mediante la narrazione, l’uomo giunge alla manifestazione della struttura profonda della realtà. Il mito va ripreso e ripetuto perché sia </w:t>
      </w:r>
      <w:proofErr w:type="spellStart"/>
      <w:r w:rsidRPr="00904FAF">
        <w:t>rieffettuata</w:t>
      </w:r>
      <w:proofErr w:type="spellEnd"/>
      <w:r w:rsidRPr="00904FAF">
        <w:t xml:space="preserve"> questa operazione originante di produzione del mondo e nel presente sia riattualizzata l’origine. Il discorso dunque funziona come un ingranaggio che ingloba nel suo meccanismo l’uditore e lo porta, mediante un percorso regolato, a percepire il senso immanente al mondo. Nel mito si </w:t>
      </w:r>
      <w:proofErr w:type="spellStart"/>
      <w:r w:rsidRPr="00904FAF">
        <w:t>rieffettua</w:t>
      </w:r>
      <w:proofErr w:type="spellEnd"/>
      <w:r w:rsidRPr="00904FAF">
        <w:t xml:space="preserve"> lo sviluppo dell’auto</w:t>
      </w:r>
      <w:r>
        <w:t>-</w:t>
      </w:r>
      <w:r w:rsidRPr="00904FAF">
        <w:t xml:space="preserve">costituzione della realtà nel suo processo, senza che questo interpelli il soggetto nella sua libertà. Ma questa logica di funzionamento del discorso è totalmente diversa da quella della fede che si lascia interpellare dalla parola. </w:t>
      </w:r>
    </w:p>
    <w:p w:rsidR="002F29A7" w:rsidRPr="00904FAF" w:rsidRDefault="002F29A7" w:rsidP="002F29A7">
      <w:pPr>
        <w:pStyle w:val="Corpotesto"/>
        <w:spacing w:after="0"/>
        <w:jc w:val="both"/>
      </w:pPr>
      <w:r w:rsidRPr="00904FAF">
        <w:t xml:space="preserve">A differenza del discorso infatti, la parola è quella forma di linguaggio che introduce una discontinuità nell’esperienza e si presenta come alterità, che rimane altra anche quando viene intesa e riconosciuta. Posta nella sua alterità, la parola non è riconducibile ad altri termini che la riducano a una totalità uniforme, ma deve esser accolta nella sua singolarità. La parola è legata all’avvenimento, più che a un processo concatenato, è essa stessa avvenimento, un sorgere che interrompe la continuità della vita e dei suoi discorsi, sorprendendo e sospendendo ogni anticipazione di senso, ogni omogeneità d’esperienza. Mediante quest’interruzione la parola rinvia l’esperienza a se stessa, la mette di fronte a sé, come responsabilità per sé stessa. La parola è insomma un avvenimento che viene da fuori e resta altra, ma raggiungendoci laddove abbiamo a che fare con noi stessi, dove siamo responsabili di noi di fronte a noi. La parola è esteriore alla nostra vita eppure ci riguarda. In tal senso la parola interpella: interrompendo le nostre evidenze ci convoca di fronte a noi stessi e sollecita una risposta nello stesso ordine della parola. E’ una novità che non vuole ripetizione, </w:t>
      </w:r>
      <w:proofErr w:type="spellStart"/>
      <w:r w:rsidRPr="00904FAF">
        <w:t>rieffettuazione</w:t>
      </w:r>
      <w:proofErr w:type="spellEnd"/>
      <w:r w:rsidRPr="00904FAF">
        <w:t xml:space="preserve">. </w:t>
      </w:r>
    </w:p>
    <w:p w:rsidR="002F29A7" w:rsidRPr="00904FAF" w:rsidRDefault="002F29A7" w:rsidP="002F29A7">
      <w:pPr>
        <w:pStyle w:val="Corpotesto"/>
        <w:spacing w:after="0"/>
        <w:jc w:val="both"/>
      </w:pPr>
      <w:r w:rsidRPr="00904FAF">
        <w:t>Articolando ulteriormente questa distinzione tra il discorso del mito e la parola della fede si può dire che il primo è dell’ordine della manifestazione, mentre la seconda dell’ordine della rivelazione</w:t>
      </w:r>
      <w:r w:rsidRPr="00904FAF">
        <w:rPr>
          <w:rStyle w:val="Rimandonotaapidipagina"/>
        </w:rPr>
        <w:footnoteReference w:id="15"/>
      </w:r>
      <w:r w:rsidRPr="00904FAF">
        <w:t xml:space="preserve">. Il mito è interpretazione di una realtà nella forma di una manifestazione, che il discorso cerca di esplicitare nel suo processo di costituzione. «Manifestarsi» significa diventare visibile, entrare nello spazio della realtà data come in un orizzonte di senso in cui diventa possibile riconoscere una realtà. Questo ingresso nel visibile non è un inizio nuovo, ma rimanda a un insieme di condizioni previe che funziona come orizzonte al cui interno può apparire la realtà. Nella manifestazione la realtà viene a noi, si fa vicino, ma a partire da una distanza originaria, da un orizzonte dato e inafferrabile, che funziona come un a priori </w:t>
      </w:r>
      <w:proofErr w:type="spellStart"/>
      <w:r w:rsidRPr="00904FAF">
        <w:t>irrecuparabile</w:t>
      </w:r>
      <w:proofErr w:type="spellEnd"/>
      <w:r w:rsidRPr="00904FAF">
        <w:t xml:space="preserve">. La manifestazione della realtà si realizza attivamente come operazione, in uno spazio di produzione: è una donazione attiva, che installa la realtà nello spazio aperto della visibilità. Ma in questo donarsi la realtà ci resta estranea, ci raggiunge solo in quanto si rende visibile, si manifesta in uno spazio ritagliato sull’orizzonte di una distanza che rimane. La realtà viene verso di noi, ma non come cosa che ci riguarda. Semplicemente appare, si manifesta. Nella rivelazione invece una realtà si dona a noi nella sua alterità mediante un farsi vicino, una prossimità reale, che attinge la nostra realtà in ciò che ci riguarda, ossia nel nostro avere a che fare con noi stessi. Nella rivelazione ci si offre una realtà che non ha a che fare con un orizzonte comune, ma resta nella sua insuperabile alterità. La possibilità di una rivelazione in cui la realtà che si dona a noi conserva la sua distanza nel farsi vicina è offerta dal linguaggio, che unisce assenza e presenza. Nella parola pronunciata e affidata all’altro, colui che parla si rende presente rimanendo altro e si dona nella misura in cui questa parola è accolta ed è resa operante da colui che la riceve: solo così rende vicina e presente la realtà che si rivela. Perché possa operare, quindi, la parola deve essere accolta come appello, esigenza, cioè deve raggiungere quella zona in cui noi </w:t>
      </w:r>
      <w:r w:rsidRPr="00904FAF">
        <w:lastRenderedPageBreak/>
        <w:t xml:space="preserve">abbiamo a che fare con noi stessi, siamo responsabili di noi di fronte agli altri e quindi siamo messi in questione di fronte a noi stessi, in relazione a una decisione su di noi. Siamo nell’ordine della vocazione. La parola raggiunge perciò il centro, il cuore della persona e per questo è compresa, ascoltata, gustata, fonte di nutrimento o di sofferenza. La parola è della nostra stessa sostanza più intima. In quanto ci raggiunge in ciò che ci costituisce come destino e responsabilità per noi stessi, la parola è avvenimento di novità, origine prima, nuovo inizio, pura iniziativa. Potremmo dire che è traccia dell’origine originante e non di un processo in cui si manifesta un originario procedere delle cose. La parola rivolta non presuppone un orizzonte esteriore più o meno distante a cui rimanda e da cui riceve luce, ma possiede una sua luminosità interiore, un suo carattere sorgivo, indipendente dalla matrice mitica di una certa rappresentazione cosmologica. Se ne conclude che nella parola che la fede accoglie l’elemento qualificante non è la spiegazione del procedere della realtà secondo un certo tipo di discorso mitico, anzi questo può essere di ostacolo se distrae l’attenzione da quell’alterità che si rivolge a noi nella parola, interpellando e convocando a una responsabilità nuova, irriducibile alle condizioni mondane. Il superamento del mondo verso il suo al di là non ha più la forma di una trasgressione mitica, il trascendente raggiunto non è l’orizzonte di manifestazione di questa realtà, la sua condizione a priori. L’altro che la parola segnala è al di fuori di questo mondo e del suo fondamento, segno di un’origine originante, sorgiva e assoluta, che lascia intuire un al di là del processo cosmico di costituzione della realtà, sia sul versante dell’origine che del prodotto. La parola rivela così una dimensione del nostro essere che non ci appartiene in ciò che ci rende parte di questo mondo, cosa tra le cose, ma in quanto siamo posti sotto la mozione di un appello, di una chiamata costitutiva. </w:t>
      </w:r>
    </w:p>
    <w:p w:rsidR="002F29A7" w:rsidRPr="00904FAF" w:rsidRDefault="002F29A7" w:rsidP="002F29A7">
      <w:pPr>
        <w:pStyle w:val="Corpotesto"/>
        <w:spacing w:after="0"/>
        <w:jc w:val="both"/>
      </w:pPr>
      <w:r w:rsidRPr="00904FAF">
        <w:t xml:space="preserve">Se sta questa differenza tra il discorso del mito, dell’ordine della manifestazione in una logica di continuità, e la parola della fede, dell’ordine della rivelazione in una logica dell’alterità che interpella, si comprendono i rischi di un discorso mitico su Dio. Questo tenderà, per la logica del suo funzionamento, a fare di Dio il volto, promettente o minaccioso, dell’apparire a noi del reale nel suo processuale costituirsi nell’orizzonte della nostra esperienza. Dio diventa la sigla del processo di costituzione della realtà, colto nel suo fondamento o nel suo segreto ultimo, oppure diventa il nome dell’orizzonte dell’apparire delle cose nell’unità ordinata del cosmo. Ma in tal modo Dio ci raggiunge dall’esterno, alla periferia di ciò che siamo. Una simile figura del divino può facilmente risolversi nella sacralizzazione dei processi costitutivi della realtà, diventando funzionale alle paure e ai bisogni dell’uomo. </w:t>
      </w:r>
    </w:p>
    <w:p w:rsidR="002F29A7" w:rsidRPr="00904FAF" w:rsidRDefault="002F29A7" w:rsidP="002F29A7">
      <w:pPr>
        <w:pStyle w:val="Corpotesto"/>
        <w:spacing w:after="0"/>
        <w:jc w:val="both"/>
      </w:pPr>
    </w:p>
    <w:p w:rsidR="002F29A7" w:rsidRPr="00904FAF" w:rsidRDefault="002F29A7" w:rsidP="002F29A7">
      <w:pPr>
        <w:pStyle w:val="Corpotesto"/>
        <w:spacing w:after="0"/>
        <w:jc w:val="both"/>
      </w:pPr>
      <w:r w:rsidRPr="00904FAF">
        <w:rPr>
          <w:i/>
        </w:rPr>
        <w:t>(b)</w:t>
      </w:r>
      <w:r w:rsidRPr="00904FAF">
        <w:t xml:space="preserve"> Raggiungiamo così l’istanza fatta valere dalla seconda precisazione, concernente l’immagine di Dio propria del mito</w:t>
      </w:r>
      <w:r w:rsidRPr="00904FAF">
        <w:rPr>
          <w:rStyle w:val="Rimandonotaapidipagina"/>
        </w:rPr>
        <w:footnoteReference w:id="16"/>
      </w:r>
      <w:r w:rsidRPr="00904FAF">
        <w:t xml:space="preserve">. C’è una dialettica nell’idea di Dio che si dispiega nelle religioni e nelle filosofie dell’umanità e che può essere tipizzata nella tensione tra Dio del mito e della filosofia. La prima immagine è quella del mito e potrebbe essere intesa come il residuo religioso di un’esperienza originaria di un’umanità unita nell’amore. Come infatti il bambino giunge a coscienza di sé e del suo essere al mondo di fronte al sorriso della madre, che introduce nella vita il figlio con una promessa di pienezza, felicità e accoglienza anticipate nella percezione di quel sorriso, così lo stupore e il timore di fronte alla forza della natura e ai misteri dell’universo, che risvegliano la coscienza religiosa, lasciano intuire dietro alla pienezza di vita un misterioso «per me» pieno di mistero, un «per me» della realtà in cui l’uomo del mito vede un «tu» divino che gli può concedere favore, protezione, aiuto. E’ questo «tu» divino che prolunga e custodisce il carattere promettente della vita, percepito nell’esperienza originaria. Questo Dio è un qualcuno, inteso in maniera non riflessa come uno fra altri possibili, come la madre, il padre, l’amico erano uno tra tanti altri che non sono interessanti «per me». Questo «per me» (o «per noi» tribù, popolo, nazione) del Dio è la sua qualità più importante: dotato della libertà e iniziativa proprie di una realtà personale, il Dio si lascia muovere dalle suppliche del fedele a nuovi interventi e manifestazioni, con cui assicura la sua protezione e il suo aiuto, riaprendo sempre di nuovo la promessa di vita piena e felice di cui </w:t>
      </w:r>
      <w:r w:rsidRPr="00904FAF">
        <w:lastRenderedPageBreak/>
        <w:t xml:space="preserve">l’uomo vive. Dio rimane un essere uno e particolare che è rivolto al fedele e nel cui cerchio di protezione l’uomo è messo al riparo, esaudito e salvato. Per regolare i diversi interessi dei singoli e armonizzare le esigenze di protezione e felicità di tutti il mito fa intervenire un Dio superiore e regolatore o un destino anonimo che tutto guida secondo misteriosi disegni ed equilibri. Si apre così tra il mondo dei mortali e quello degli </w:t>
      </w:r>
      <w:proofErr w:type="spellStart"/>
      <w:r w:rsidRPr="00904FAF">
        <w:t>dèi</w:t>
      </w:r>
      <w:proofErr w:type="spellEnd"/>
      <w:r w:rsidRPr="00904FAF">
        <w:t xml:space="preserve">, comunque felici, un abisso oscuro, costituito da un inafferrabile destino universale. La filosofia oppone però a una simile visione particolare l’esigenza di una visione più coerente del divino: il dualismo elementare che divide il mondo immortale degli </w:t>
      </w:r>
      <w:proofErr w:type="spellStart"/>
      <w:r w:rsidRPr="00904FAF">
        <w:t>dèi</w:t>
      </w:r>
      <w:proofErr w:type="spellEnd"/>
      <w:r w:rsidRPr="00904FAF">
        <w:t xml:space="preserve"> e quello mortale degli umani rischia infatti di rendere finito, limitato lo stesso mondo divino, posto di fronte all’umano, e finisce col limitarne la potenza e la libertà divine in relazione a un oscuro destino, anteriore alla distinzione dei due mondi e che entrambi condiziona. Secondo la sua natura, il divino deve essere </w:t>
      </w:r>
      <w:proofErr w:type="spellStart"/>
      <w:r w:rsidRPr="00904FAF">
        <w:t>incausato</w:t>
      </w:r>
      <w:proofErr w:type="spellEnd"/>
      <w:r w:rsidRPr="00904FAF">
        <w:t xml:space="preserve"> e incondizionato (assoluto), fondamento senza origine del mondo e realtà immutabile ed eterna. Ma soprattutto il divino è realizzato da una realtà assoluta che non può contenere per principio alcuna antitesi. Il mondo è pieno di antitesi e, se è pensato come finito, ha la sua antitesi in Dio; ma Dio non ha alcuna antitesi e va considerato come il non-Altro. Dio non sta di fronte a un suo altro che non sia lui o che lo delimiti. Dio è realtà «una», fonte di amore e conoscenza, al modo di ciò che tutto attira e orienta, ma non una realtà che a sua volta si pone in relazione rispetto ad altro. In tal modo però la realtà divina, che tutto muove come mèta ultima di ogni movimento, si dilegua nell’ineffabile, privo di un «tu»: è realtà impersonale, non circoscritta dall’antitesi «io-tu». L’idea di Dio rimane nell’alternativa tra mito e filosofia senza poter prescindere da una delle due posizioni e senza riuscire a condurre a termine la campata di un ponte che deve poggiare su entrambi i pilastri. Il cuore chiede un Dio che sia un «tu» di fronte a lui, in un rapporto di amore e protezione. La ragione proibisce di pensare Dio come un «tu» di fronte ad altro, perché deve essere assoluto e perciò al di là di ogni tensione antitetica. Dio va inteso piuttosto come bene universale, anonimo, che si effonde senza invidia e tutto attira a sé, senza essere a sua volta mosso da alcunché. Dio non può essere colui che rivolge una parola personale, che risveglia la persona a sé, introducendola al cuore della realtà. </w:t>
      </w:r>
    </w:p>
    <w:p w:rsidR="002F29A7" w:rsidRPr="00904FAF" w:rsidRDefault="002F29A7" w:rsidP="002F29A7">
      <w:pPr>
        <w:pStyle w:val="Corpotesto"/>
        <w:spacing w:after="0"/>
        <w:jc w:val="both"/>
      </w:pPr>
      <w:r w:rsidRPr="00904FAF">
        <w:t xml:space="preserve">Rispetto all’immaginazione del mito, che sempre si scontra con la proibizione della filosofia che vuole tutelare il logos del divino, il Dio della rivelazione rivendica la sua assolutezza come libertà e gratuità di una scelta del suo interlocutore, che non si fonda su nessuna possibilità della creatura ma si radica nel mistero della sua trascendenza incondizionata. Dio rivolge una parola di grazia al suo eletto, lasciandosi guidare da un amore gratuito che può esser corrisposto dall’uomo solo con un amore altrettanto totale e illimitato. Il rivolgersi di Dio all’eletto è un avvenimento unico, che manifesta un amore senza presupposti, inizio fontale, sorgivo, novità assoluta, origine originante, che interrompe l’orizzonte dell’esperienza, aprendolo a dimensioni nuove. Il Dio che si eleva sopra ogni antitesi ed è la totalità che tutto abbraccia (Sir 33, 14-15; 42,24; 43,27) è lo stesso Dio creatore di ogni cosa, che sceglie indipendentemente da ogni motivo creato, manifestando la potenza e assolutezza del suo essere come amore. Dio si rivela come l’irraggiungibile sempre più grande, l’assoluto ininvestigabile, il totalmente altro, perché la libertà del suo amore si sottrae, elevandosi sempre più, ad ogni comprensione. Si crea però una nuova dialettica tra </w:t>
      </w:r>
      <w:proofErr w:type="spellStart"/>
      <w:r w:rsidRPr="00904FAF">
        <w:t>incondizionatezza</w:t>
      </w:r>
      <w:proofErr w:type="spellEnd"/>
      <w:r w:rsidRPr="00904FAF">
        <w:t xml:space="preserve"> della scelta divina e necessità della risposta umana, tra infallibilità dell’elezione e condizionalità dell’alleanza, tra gratuità del dono ed esigenza di risposta, una dialettica che attraversa tutta la storia della salvezza e della rivelazione come la grande sfida della fede: riuscirà l’uomo a reggere all’esigenza di un amore assoluto?</w:t>
      </w:r>
    </w:p>
    <w:p w:rsidR="002F29A7" w:rsidRPr="00904FAF" w:rsidRDefault="002F29A7" w:rsidP="002F29A7">
      <w:pPr>
        <w:pStyle w:val="Corpotesto"/>
        <w:spacing w:after="0"/>
        <w:jc w:val="both"/>
      </w:pPr>
      <w:r w:rsidRPr="00904FAF">
        <w:t xml:space="preserve">Il mito dunque propizia un’immagine di Dio bloccata nella tensione coi divieti della ragione, che vuole custodire l’assolutezza del divino. La strategia dell’affermazione di Dio propria del mito riposerà pertanto sulla contestazione della significatività del Dio della ragione e sulla rivendicazione dei diritti dell’irrazionale nella relazione col mistero. Ma questa strategia blocca di nuovo la relazione col Dio vivente a un livello in cui l’uomo non è convocato alla presenza di Dio in ciò che ha di più proprio, a quel livello dell’esistenza in cui la creatura ha a che fare con sé, decide di sé e quindi della sua verità ultima. All’uomo non rimane che questa alternativa: o abbandona se stesso, perdendosi nel divino anonimo che tutto abbraccia senza incontrare nessuno, oppure affida il suo </w:t>
      </w:r>
      <w:r w:rsidRPr="00904FAF">
        <w:lastRenderedPageBreak/>
        <w:t>desiderio di vita alla multiforme potenza della vita stessa, rivestendone il germogliare continuo coi volti di divinità tutelari, che proteggano il suo cammino. E’ l’alternativa tra l’</w:t>
      </w:r>
      <w:proofErr w:type="spellStart"/>
      <w:r w:rsidRPr="00904FAF">
        <w:t>apofatismo</w:t>
      </w:r>
      <w:proofErr w:type="spellEnd"/>
      <w:r w:rsidRPr="00904FAF">
        <w:t xml:space="preserve"> ascetico della ragione che ha allontanato Dio nelle rarefatte </w:t>
      </w:r>
      <w:proofErr w:type="spellStart"/>
      <w:r w:rsidRPr="00904FAF">
        <w:t>abissalità</w:t>
      </w:r>
      <w:proofErr w:type="spellEnd"/>
      <w:r w:rsidRPr="00904FAF">
        <w:t xml:space="preserve"> del totalmente altro e la dispersione idolatrica del divino nei mille volti delle personificazioni delle potenze della vita.</w:t>
      </w:r>
    </w:p>
    <w:p w:rsidR="002F29A7" w:rsidRPr="005D1056" w:rsidRDefault="002F29A7" w:rsidP="002F29A7">
      <w:pPr>
        <w:pStyle w:val="Citazione"/>
        <w:ind w:left="0"/>
        <w:rPr>
          <w:sz w:val="24"/>
          <w:szCs w:val="24"/>
        </w:rPr>
      </w:pPr>
      <w:r w:rsidRPr="005D1056">
        <w:rPr>
          <w:sz w:val="24"/>
          <w:szCs w:val="24"/>
        </w:rPr>
        <w:t xml:space="preserve">2. </w:t>
      </w:r>
      <w:r w:rsidRPr="005D1056">
        <w:rPr>
          <w:i/>
          <w:sz w:val="24"/>
          <w:szCs w:val="24"/>
        </w:rPr>
        <w:t>Determinare il posto del cristianesimo nella concreta storia delle religioni</w:t>
      </w:r>
    </w:p>
    <w:p w:rsidR="002F29A7" w:rsidRPr="00904FAF" w:rsidRDefault="00376388" w:rsidP="002F29A7">
      <w:pPr>
        <w:pStyle w:val="Citazione"/>
        <w:spacing w:before="0" w:after="0" w:line="240" w:lineRule="auto"/>
        <w:ind w:left="0"/>
        <w:rPr>
          <w:sz w:val="24"/>
          <w:szCs w:val="24"/>
        </w:rPr>
      </w:pPr>
      <w:r>
        <w:rPr>
          <w:sz w:val="24"/>
          <w:szCs w:val="24"/>
        </w:rPr>
        <w:t xml:space="preserve">2.1. Alla </w:t>
      </w:r>
      <w:r w:rsidR="002F29A7" w:rsidRPr="00904FAF">
        <w:rPr>
          <w:sz w:val="24"/>
          <w:szCs w:val="24"/>
        </w:rPr>
        <w:t xml:space="preserve">pretesa di verità di una determinata religione, l’uomo contemporaneo molto difficilmente si opporrà con un deciso “no!”; si limiterà solo a relativizzare la pretesa col dire: vi sono molte religioni… Il concetto di religione che ha l’uomo di oggi è statico, di solito egli non contempla la possibilità del passaggio da una religione all’altra, ma si aspetta che ciascuno rimanga nella propria e che la viva nella coscienza che, nel suo nucleo spirituale, essa è senz’altro identica a tutte le altre… Una seconda caratteristica traspare in quanto si è detto. Il concetto di religione dell’uomo di oggi è caratterizzato dal simbolismo e dallo spiritualismo. La religione appare come un cosmo di simboli, che, pur in presenza di un’ultima unità del linguaggio simbolico dell’umanità (che sia la psicologia sia la scienza delle religioni oggi fanno risaltare sempre più chiaramente), nei particolari differiscono in molti modi, ma intendono comunque tutti la stessa cosa e dovrebbero solo cominciare a scoprire la loro profonda unità. Appena ciò avvenisse, l’unità delle religioni si realizzerebbe senza eliminare la loro pluralità: questa è l’illusione piena di promesse che, proprio persone religiosamente sensibili, oggi hanno davanti a sé come unica reale speranza per il futuro… Tuttavia, se gli sta a cuore l’avvenire della religione, se è convinto che il cristianesimo e non un’indefinita religione dello spirito è la religione dell’avvenire, il teologo cristiano si sentirà spronato nel continuare ad indagare e a cercare di conoscere più chiaramente il senso della storia delle religioni e il posto del cristianesimo in essa. […] La primissima impressione che si impone all’uomo quando incomincia, in materia di religione, a gettare lo sguardo al di là dei confini della propria, è quella di un illimitato pluralismo, di una molteplicità addirittura opprimente, che a priori fa apparire illusoria la questione della verità. Noi, però, abbiamo già accennato al fatto che quest’impressione non dura a lungo, ma molto presto cede il passo a un’altra: quella di una nascosta identità delle aree religiose, che si distinguono certo nei nomi e nelle immagini di superficie, ma non nei grandi simboli fondamentali e in ciò che con essi si intende. In larga misura quest’impressione è giusta. Di fatto esiste un’ampia area religiosa nella quale la comunanza dell’esperienza spirituale è più decisiva della diversità delle forme esterne. In modo esplicito o implicito, tante religioni stanno in quella profonda, reciproca comunicazione spirituale che nell’antichità si esprimeva nella facilità con cui le divinità potevano essere scambiate da religione a religione, “tradotte”, considerate identiche nel loro significato. La diversità delle religioni somiglia alla diversità delle lingue, che sono traducibili l’una nell’altra, perché fanno riferimento alla stessa struttura di pensiero. Un analogo modo di sentire, seppure di genere non esattamente identico, si manifesta quando religioni asiatiche possono esistere contemporaneamente l’una nell’altra, quando per esempio una persona può essere nello stesso tempo buddista e confuciana, buddista e scintoista. […] La filosofia moderna della religione è perfino persuasa di poter addurre il fondamento di questa nascosta identità. Secondo la sua concezione, qualsiasi religione, nella misura in cui è “autentica”, ha il suo punto di partenza in quella forma di intima esperienza del divino che i mistici di tutti i tempi e di tutti i luoghi hanno sempre vissuto e vivono. Ogni religione in fondo poggerebbe sull’esperienza vissuta dal mistico, il quale solo consegue il contatto diretto col divino… Questa interpretazione mistica della religione costituisce chiaramente lo sfondo di ciò che prima abbiamo definito il concetto di religione dell’uomo di oggi, concetto il cui senso e legittimità sta o cade insieme a tale riduzione della religione alla mistica… E’ però altrettanto sicuro che essa non coglie l’intera realtà, anzi, se lo volesse fare, essa giungerebbe a una semplificazione errata. Quando si analizza la storia delle religioni nella sua totalità, ci si imbatte in un’imponente dinamica, propria di una storia reale (che è progresso, non costante ripetizione simbolica dell’uguale); la semplice in-distinzione a cui conduce l’interpretazione mistica viene meno a favore di uno strutturarsi ben definito, che oggi risulta ormai evidente, in cui la via mistica emerge come una via del tutto </w:t>
      </w:r>
      <w:r w:rsidR="002F29A7" w:rsidRPr="00904FAF">
        <w:rPr>
          <w:sz w:val="24"/>
          <w:szCs w:val="24"/>
        </w:rPr>
        <w:lastRenderedPageBreak/>
        <w:t xml:space="preserve">particolare tra svariate altre, in un punto assolutamente particolare della storia delle religioni, e presuppone una intera serie di sviluppi indipendenti da essa. In primo luogo troviamo sedimentato lo stadio delle antiche religioni (cosiddette primitive), che poi si sviluppa nello stadio delle religioni mitiche, nelle quali le esperienze sparse dei primordi si raccolgono in una coerente visione unitaria. Entrambi gli stadi non hanno a che fare nulla con la mistica nel senso più stretto, insieme, tuttavia, formano il vasto campo antecedente la storia delle religioni che rimane costantemente importante come corrente sotterranea dell’intero fenomeno. Se il primo grande passo della storia delle religioni, dunque, consiste nel passaggio dalle esperienze sparse dei primitivi al mito in grande stile, il secondo passo, decisivo e tale da determinare l’attuale carattere della religione, consiste nell’uscita dal mito. Tale passo storicamente si è verificato in tre modi: (1) Nella forma della mistica, in cui il mito delude come mera forma simbolica e si rafforza l’assolutezza dell’ineffabile esperienza vissuta. Di fatto poi la mistica si dimostra custode dei miti, rifonda il mito, che spiega come simbolo della verità. (2) La seconda forma è quella della rivoluzione monoteistica, la cui forma classica si trova in Israele. In essa il mito è rifiutato come arbitrio umano. Viene affermata l’assolutezza della chiamata divina tramite il profeta. (3) Va aggiunto come terza forma l’illuminismo, il cui primo grande momento si verificò in Grecia. In esso il mito come prima forma di conoscenza prescientifica viene superato e si instaura l’assolutezza della conoscenza razionale. L’elemento religioso diventa privo di significato, al massimo gli rimane una certa funzione puramente formale di cerimoniale politico. […] E’ noto che nell’epoca della Chiesa antica, il cristianesimo era riuscito a legarsi in maniera abbastanza stretta alle forze dell’illuminismo. Ricapitolando quanto scritto fin qui, constatiamo che non esiste una generica in-distinzione delle religioni e neppure la loro pluralità senza rapporto, ma si può delineare una formula strutturale, che abbracci il momento della storicità (del divenire, dello sviluppo), il momento dell’essere in costante rapporto e il momento delle diversità reali, irriducibili… Tra l’idea di una pluralità sconfinata e quella di una altrettanto sconfinata in-distinzione siamo rimandati invece a un numero limitato di strutture, che sono preordinate a un determinato sviluppo spirituale. Inoltre è risultato che l’instaurarsi di un’assolutezza non è, come abitualmente si ritiene, una peculiarità della sola via monoteistica, ma è proprio di tutte e tre le vie con cui l’uomo ha abbandonato il mito. Come il monoteismo afferma l’assolutezza della chiamata divina da esso udita, così la mistica parte dell’assolutezza della spiritual </w:t>
      </w:r>
      <w:proofErr w:type="spellStart"/>
      <w:r w:rsidR="002F29A7" w:rsidRPr="00904FAF">
        <w:rPr>
          <w:sz w:val="24"/>
          <w:szCs w:val="24"/>
        </w:rPr>
        <w:t>experience</w:t>
      </w:r>
      <w:proofErr w:type="spellEnd"/>
      <w:r w:rsidR="002F29A7" w:rsidRPr="00904FAF">
        <w:rPr>
          <w:sz w:val="24"/>
          <w:szCs w:val="24"/>
        </w:rPr>
        <w:t xml:space="preserve"> come l’unica cosa davvero reale in tutte le religioni, mentre fa passare tutto quello che è dicibile e formulabile per forme simboliche secondarie e fungibili… Infine bisognerebbe aggiungere che anche la terza delle vie da noi evidenziate, che abbiamo chiamato illuminismo… ha una sua propria assolutezza: l’assolutezza della conoscenza razionale (scientifica)»</w:t>
      </w:r>
      <w:r w:rsidR="002F29A7" w:rsidRPr="00904FAF">
        <w:rPr>
          <w:rStyle w:val="Rimandonotaapidipagina"/>
          <w:sz w:val="24"/>
          <w:szCs w:val="24"/>
        </w:rPr>
        <w:footnoteReference w:id="17"/>
      </w:r>
      <w:r w:rsidR="002F29A7" w:rsidRPr="00904FAF">
        <w:rPr>
          <w:sz w:val="24"/>
          <w:szCs w:val="24"/>
        </w:rPr>
        <w:t>.</w:t>
      </w:r>
    </w:p>
    <w:p w:rsidR="002F29A7" w:rsidRDefault="002F29A7" w:rsidP="002F29A7">
      <w:pPr>
        <w:pStyle w:val="Corpotesto"/>
        <w:spacing w:after="0"/>
        <w:jc w:val="both"/>
        <w:rPr>
          <w:szCs w:val="22"/>
        </w:rPr>
      </w:pPr>
    </w:p>
    <w:p w:rsidR="005402AE" w:rsidRDefault="005402AE" w:rsidP="002F29A7">
      <w:pPr>
        <w:jc w:val="center"/>
        <w:rPr>
          <w:sz w:val="20"/>
          <w:szCs w:val="20"/>
        </w:rPr>
      </w:pPr>
    </w:p>
    <w:p w:rsidR="002F29A7" w:rsidRPr="00133934" w:rsidRDefault="002F29A7" w:rsidP="002F29A7">
      <w:pPr>
        <w:jc w:val="center"/>
        <w:rPr>
          <w:sz w:val="20"/>
          <w:szCs w:val="20"/>
        </w:rPr>
      </w:pPr>
      <w:r w:rsidRPr="00133934">
        <w:rPr>
          <w:sz w:val="20"/>
          <w:szCs w:val="20"/>
        </w:rPr>
        <w:t xml:space="preserve">Religioni tradizionali o primitive </w:t>
      </w:r>
    </w:p>
    <w:p w:rsidR="002F29A7" w:rsidRPr="00133934" w:rsidRDefault="002F29A7" w:rsidP="002F29A7">
      <w:pPr>
        <w:jc w:val="center"/>
        <w:rPr>
          <w:sz w:val="20"/>
          <w:szCs w:val="20"/>
        </w:rPr>
      </w:pPr>
      <w:r w:rsidRPr="00133934">
        <w:rPr>
          <w:sz w:val="20"/>
          <w:szCs w:val="20"/>
        </w:rPr>
        <w:t>l’esperienza «dispersa o diffusa» del sacro (cose, luoghi e tempi sacri)</w:t>
      </w:r>
    </w:p>
    <w:p w:rsidR="002F29A7" w:rsidRDefault="002F29A7" w:rsidP="002F29A7">
      <w:pPr>
        <w:rPr>
          <w:sz w:val="20"/>
          <w:szCs w:val="20"/>
        </w:rPr>
      </w:pPr>
      <w:r>
        <w:rPr>
          <w:sz w:val="20"/>
          <w:szCs w:val="20"/>
        </w:rPr>
        <w:t xml:space="preserve">                                                                                               ↓</w:t>
      </w:r>
    </w:p>
    <w:p w:rsidR="002F29A7" w:rsidRPr="00133934" w:rsidRDefault="002F29A7" w:rsidP="002F29A7">
      <w:pPr>
        <w:jc w:val="center"/>
        <w:rPr>
          <w:sz w:val="20"/>
          <w:szCs w:val="20"/>
        </w:rPr>
      </w:pPr>
    </w:p>
    <w:p w:rsidR="002F29A7" w:rsidRPr="00133934" w:rsidRDefault="002F29A7" w:rsidP="002F29A7">
      <w:pPr>
        <w:jc w:val="center"/>
        <w:rPr>
          <w:sz w:val="20"/>
          <w:szCs w:val="20"/>
        </w:rPr>
      </w:pPr>
      <w:r w:rsidRPr="00133934">
        <w:rPr>
          <w:sz w:val="20"/>
          <w:szCs w:val="20"/>
        </w:rPr>
        <w:t>La sistemazione del sacro in una narrazione coerente: i miti</w:t>
      </w:r>
    </w:p>
    <w:p w:rsidR="002F29A7" w:rsidRPr="00133934" w:rsidRDefault="002F29A7" w:rsidP="002F29A7">
      <w:pPr>
        <w:jc w:val="center"/>
        <w:rPr>
          <w:sz w:val="20"/>
          <w:szCs w:val="20"/>
        </w:rPr>
      </w:pPr>
      <w:r w:rsidRPr="00133934">
        <w:rPr>
          <w:sz w:val="20"/>
          <w:szCs w:val="20"/>
        </w:rPr>
        <w:t>(un discorso sull’originario costituirsi della realtà e il suo senso)</w:t>
      </w:r>
    </w:p>
    <w:p w:rsidR="002F29A7" w:rsidRPr="00133934" w:rsidRDefault="002F29A7" w:rsidP="002F29A7">
      <w:pPr>
        <w:jc w:val="center"/>
        <w:rPr>
          <w:sz w:val="20"/>
          <w:szCs w:val="20"/>
        </w:rPr>
      </w:pPr>
      <w:r>
        <w:rPr>
          <w:sz w:val="20"/>
          <w:szCs w:val="20"/>
        </w:rPr>
        <w:t>↓</w:t>
      </w:r>
    </w:p>
    <w:p w:rsidR="002F29A7" w:rsidRPr="00133934" w:rsidRDefault="002F29A7" w:rsidP="002F29A7">
      <w:pPr>
        <w:jc w:val="center"/>
        <w:rPr>
          <w:sz w:val="20"/>
          <w:szCs w:val="20"/>
        </w:rPr>
      </w:pPr>
    </w:p>
    <w:p w:rsidR="002F29A7" w:rsidRPr="00133934" w:rsidRDefault="002F29A7" w:rsidP="002F29A7">
      <w:pPr>
        <w:jc w:val="center"/>
        <w:rPr>
          <w:sz w:val="20"/>
          <w:szCs w:val="20"/>
        </w:rPr>
      </w:pPr>
      <w:r w:rsidRPr="00133934">
        <w:rPr>
          <w:sz w:val="20"/>
          <w:szCs w:val="20"/>
        </w:rPr>
        <w:t>Le vie dell’uscita</w:t>
      </w:r>
      <w:r>
        <w:rPr>
          <w:sz w:val="20"/>
          <w:szCs w:val="20"/>
        </w:rPr>
        <w:t xml:space="preserve"> dal mito: la cultura e l’umano</w:t>
      </w:r>
    </w:p>
    <w:p w:rsidR="002F29A7" w:rsidRDefault="002F29A7" w:rsidP="002F29A7">
      <w:pPr>
        <w:rPr>
          <w:sz w:val="20"/>
          <w:szCs w:val="20"/>
        </w:rPr>
      </w:pPr>
      <w:r>
        <w:rPr>
          <w:sz w:val="20"/>
          <w:szCs w:val="20"/>
        </w:rPr>
        <w:t xml:space="preserve">                                                               </w:t>
      </w:r>
    </w:p>
    <w:p w:rsidR="002F29A7" w:rsidRDefault="002F29A7" w:rsidP="002F29A7">
      <w:pPr>
        <w:rPr>
          <w:sz w:val="20"/>
          <w:szCs w:val="20"/>
        </w:rPr>
      </w:pPr>
      <w:r>
        <w:rPr>
          <w:sz w:val="20"/>
          <w:szCs w:val="20"/>
        </w:rPr>
        <w:t xml:space="preserve">                                                              </w:t>
      </w:r>
      <w:r>
        <w:rPr>
          <w:rFonts w:ascii="Calibri" w:hAnsi="Calibri" w:cs="Calibri"/>
          <w:sz w:val="20"/>
          <w:szCs w:val="20"/>
        </w:rPr>
        <w:t>↙                                  ↓                              ↘</w:t>
      </w:r>
    </w:p>
    <w:p w:rsidR="002F29A7" w:rsidRPr="00133934" w:rsidRDefault="002F29A7" w:rsidP="002F29A7">
      <w:pPr>
        <w:rPr>
          <w:sz w:val="20"/>
          <w:szCs w:val="20"/>
        </w:rPr>
      </w:pPr>
      <w:r>
        <w:rPr>
          <w:sz w:val="20"/>
          <w:szCs w:val="20"/>
        </w:rPr>
        <w:t xml:space="preserve">   </w:t>
      </w:r>
    </w:p>
    <w:p w:rsidR="002F29A7" w:rsidRPr="00133934" w:rsidRDefault="002F29A7" w:rsidP="002F29A7">
      <w:pPr>
        <w:jc w:val="center"/>
        <w:rPr>
          <w:sz w:val="20"/>
          <w:szCs w:val="20"/>
        </w:rPr>
      </w:pPr>
    </w:p>
    <w:p w:rsidR="002F29A7" w:rsidRDefault="002F29A7" w:rsidP="002F29A7">
      <w:pPr>
        <w:jc w:val="both"/>
        <w:rPr>
          <w:sz w:val="20"/>
          <w:szCs w:val="20"/>
        </w:rPr>
      </w:pPr>
      <w:r w:rsidRPr="00133934">
        <w:rPr>
          <w:sz w:val="20"/>
          <w:szCs w:val="20"/>
        </w:rPr>
        <w:t xml:space="preserve">              La via mistica                                           la rivoluzione monoteista                           l’illuminismo razionale</w:t>
      </w:r>
    </w:p>
    <w:p w:rsidR="002F29A7" w:rsidRDefault="002F29A7" w:rsidP="002F29A7">
      <w:pPr>
        <w:jc w:val="both"/>
        <w:rPr>
          <w:sz w:val="20"/>
          <w:szCs w:val="20"/>
        </w:rPr>
      </w:pPr>
      <w:r w:rsidRPr="00133934">
        <w:rPr>
          <w:sz w:val="20"/>
          <w:szCs w:val="20"/>
        </w:rPr>
        <w:t xml:space="preserve">              </w:t>
      </w:r>
      <w:r>
        <w:rPr>
          <w:sz w:val="20"/>
          <w:szCs w:val="20"/>
        </w:rPr>
        <w:t xml:space="preserve">    </w:t>
      </w:r>
      <w:r w:rsidRPr="00133934">
        <w:rPr>
          <w:sz w:val="20"/>
          <w:szCs w:val="20"/>
        </w:rPr>
        <w:t>(l’</w:t>
      </w:r>
      <w:r w:rsidRPr="00133934">
        <w:rPr>
          <w:i/>
          <w:sz w:val="20"/>
          <w:szCs w:val="20"/>
        </w:rPr>
        <w:t>unum</w:t>
      </w:r>
      <w:r w:rsidRPr="00133934">
        <w:rPr>
          <w:sz w:val="20"/>
          <w:szCs w:val="20"/>
        </w:rPr>
        <w:t xml:space="preserve">)                                                         (il </w:t>
      </w:r>
      <w:proofErr w:type="spellStart"/>
      <w:r w:rsidRPr="00133934">
        <w:rPr>
          <w:i/>
          <w:sz w:val="20"/>
          <w:szCs w:val="20"/>
        </w:rPr>
        <w:t>bonum</w:t>
      </w:r>
      <w:proofErr w:type="spellEnd"/>
      <w:r w:rsidRPr="00133934">
        <w:rPr>
          <w:sz w:val="20"/>
          <w:szCs w:val="20"/>
        </w:rPr>
        <w:t xml:space="preserve">)                                               (il </w:t>
      </w:r>
      <w:proofErr w:type="spellStart"/>
      <w:r w:rsidRPr="00133934">
        <w:rPr>
          <w:i/>
          <w:sz w:val="20"/>
          <w:szCs w:val="20"/>
        </w:rPr>
        <w:t>verum</w:t>
      </w:r>
      <w:proofErr w:type="spellEnd"/>
      <w:r w:rsidRPr="00133934">
        <w:rPr>
          <w:sz w:val="20"/>
          <w:szCs w:val="20"/>
        </w:rPr>
        <w:t>)</w:t>
      </w:r>
    </w:p>
    <w:p w:rsidR="002F29A7" w:rsidRPr="00133934" w:rsidRDefault="002F29A7" w:rsidP="002F29A7">
      <w:pPr>
        <w:jc w:val="both"/>
        <w:rPr>
          <w:sz w:val="20"/>
          <w:szCs w:val="20"/>
        </w:rPr>
      </w:pPr>
      <w:r>
        <w:rPr>
          <w:sz w:val="20"/>
          <w:szCs w:val="20"/>
        </w:rPr>
        <w:t xml:space="preserve">             L’intuizione spirituale                                      la chiamata/appello                                    la verità razionale</w:t>
      </w:r>
    </w:p>
    <w:p w:rsidR="00376388" w:rsidRDefault="00376388" w:rsidP="00376388">
      <w:pPr>
        <w:pStyle w:val="Corpotesto"/>
        <w:spacing w:after="0"/>
        <w:jc w:val="both"/>
      </w:pPr>
      <w:r w:rsidRPr="00376388">
        <w:rPr>
          <w:szCs w:val="22"/>
        </w:rPr>
        <w:lastRenderedPageBreak/>
        <w:t>2.2.</w:t>
      </w:r>
      <w:r>
        <w:rPr>
          <w:i/>
          <w:szCs w:val="22"/>
        </w:rPr>
        <w:t xml:space="preserve"> </w:t>
      </w:r>
      <w:r w:rsidRPr="005402AE">
        <w:rPr>
          <w:i/>
          <w:szCs w:val="22"/>
        </w:rPr>
        <w:t>La storicità dell’esperienza religiosa e il mistero dell’uomo</w:t>
      </w:r>
      <w:r w:rsidRPr="00EB23B1">
        <w:rPr>
          <w:i/>
          <w:szCs w:val="22"/>
        </w:rPr>
        <w:t>: dimensioni della sfida</w:t>
      </w:r>
      <w:r>
        <w:rPr>
          <w:i/>
          <w:szCs w:val="22"/>
        </w:rPr>
        <w:t xml:space="preserve">. </w:t>
      </w:r>
      <w:r>
        <w:rPr>
          <w:szCs w:val="22"/>
        </w:rPr>
        <w:t xml:space="preserve">Contro una concezione metafisica dell’essenza umana, precostituita rispetto alle sue realizzazioni storiche e quindi al di là della storia, la riflessione sulla storicità mette in luce come l’uomo sia quell’essere che non è identico a se stesso. Ciò significa: l’uomo ha una natura che impone alla sua storia una norma e un fine; tuttavia egli manda avanti la storia stessa come compimento e raggiungimento della sua essenza. Questa non è soltanto una struttura data precedentemente al suo agire, bensì impegna l’uomo nella sua stessa storia. L’uomo si trova “consegnato a se stesso </w:t>
      </w:r>
      <w:r w:rsidRPr="006D6498">
        <w:rPr>
          <w:i/>
          <w:szCs w:val="22"/>
        </w:rPr>
        <w:t>precedentemente</w:t>
      </w:r>
      <w:r>
        <w:rPr>
          <w:szCs w:val="22"/>
        </w:rPr>
        <w:t xml:space="preserve">” e quindi ha un orizzonte nel suo agire, procede sotto una legge che determina le possibilità del suo divenire. Egli apprende questa legge quale fondamento </w:t>
      </w:r>
      <w:r w:rsidRPr="003B2C9C">
        <w:rPr>
          <w:i/>
          <w:szCs w:val="22"/>
        </w:rPr>
        <w:t>a priori</w:t>
      </w:r>
      <w:r>
        <w:rPr>
          <w:szCs w:val="22"/>
        </w:rPr>
        <w:t xml:space="preserve"> della storia della sua libertà. Ma, d’altra parte, nella misura in cui prende lucidamente e liberamente possesso della sua natura come fondamento e limite della sua libertà, avverte che proprio questa natura impegna la libertà. Il fondamento dell’agire dell’uomo può essere oggetto dell’agire umano. Appare la dialettica tra il dato come tale e il dato da fare: ciò che l’uomo trova come dato precedentemente gli viene posto come compito da svolgere, come il contenuto dell’appello rivolto alla sua libertà. La verità dell’uomo si dà sempre nella dialettica di dato-compito, intesi come due poli di un processo storico. Il dato (la natura) non può ricavare da sé il suo compimento e tuttavia deve procurarselo da sé. Il compimento deve quindi essere dato in questa dialettica, che fa il processo storico. Si tratta dell’appropriazione del dato in cui l’uomo giunge a se stesso (verità della natura) con la sua storia (e non uscendo da essa per attingere un’essenza atemporale ed eterna). </w:t>
      </w:r>
      <w:r w:rsidRPr="009A39C3">
        <w:rPr>
          <w:i/>
          <w:szCs w:val="22"/>
        </w:rPr>
        <w:t>La storia è mediatrice dell’essenziale in un esodo-uscita da sé per trovarsi veramente</w:t>
      </w:r>
      <w:r>
        <w:rPr>
          <w:szCs w:val="22"/>
        </w:rPr>
        <w:t>. La verità dell’uomo, in altri termini, non è determinata in relazione alla sua essenza, intesa al modo di una natura astratta-metafisica o come esperienza interiore dell’assoluto. La verità dell’essenza dell’uomo rinvia alla storia. Applicata al nostro problema, questa istanza significa che non è possibile né sensato cercare un’essenza della religione astratta e atemporale, su cui verificare il nesso religione-fede. Occorre piuttosto indagare nella storia come l’uomo assume la religione in un’attuazione concreta, che implica un’uscita dall’astratto verso concrete esperienze storiche, che sono tutte in relazione all’interno di un processo complessivo. In esso le religioni si presentano sempre come essenze concrete da studiare nelle loro relazioni. L’uomo si mette in gioco proprio in queste realtà storiche concrete e non in una religione essenziale astratta che non esiste in nessun luogo. Questa problematica ci rimanda direttamente alla questione di un concetto o di una definizione (teologica) di religione, che faccia da principio guida o da delimitazione del campo di indagine in una teologia delle religioni.</w:t>
      </w:r>
    </w:p>
    <w:p w:rsidR="00376388" w:rsidRDefault="00376388" w:rsidP="004112B6">
      <w:pPr>
        <w:jc w:val="center"/>
        <w:rPr>
          <w:i/>
        </w:rPr>
      </w:pPr>
    </w:p>
    <w:p w:rsidR="004112B6" w:rsidRDefault="004112B6" w:rsidP="004112B6">
      <w:pPr>
        <w:jc w:val="center"/>
        <w:rPr>
          <w:i/>
        </w:rPr>
      </w:pPr>
      <w:r>
        <w:rPr>
          <w:i/>
        </w:rPr>
        <w:t>La religione oggi: risorsa o problema per la fede?</w:t>
      </w:r>
    </w:p>
    <w:p w:rsidR="004112B6" w:rsidRDefault="004112B6" w:rsidP="002F29A7">
      <w:pPr>
        <w:jc w:val="both"/>
        <w:rPr>
          <w:i/>
        </w:rPr>
      </w:pPr>
    </w:p>
    <w:p w:rsidR="004112B6" w:rsidRDefault="00BC58DD" w:rsidP="00BC58DD">
      <w:pPr>
        <w:jc w:val="both"/>
      </w:pPr>
      <w:r w:rsidRPr="00BC58DD">
        <w:rPr>
          <w:b/>
          <w:i/>
        </w:rPr>
        <w:t>(a)</w:t>
      </w:r>
      <w:r>
        <w:rPr>
          <w:i/>
        </w:rPr>
        <w:t xml:space="preserve"> F</w:t>
      </w:r>
      <w:r w:rsidR="005402AE" w:rsidRPr="00BC58DD">
        <w:rPr>
          <w:i/>
        </w:rPr>
        <w:t>acciamo allora un ulteriore passo per comprendere la situazione storica attuale della religione nella cultura post-moderna</w:t>
      </w:r>
      <w:r w:rsidR="002F29A7">
        <w:t xml:space="preserve">. </w:t>
      </w:r>
    </w:p>
    <w:p w:rsidR="004112B6" w:rsidRDefault="004112B6" w:rsidP="002F29A7">
      <w:pPr>
        <w:jc w:val="both"/>
      </w:pPr>
    </w:p>
    <w:p w:rsidR="002F29A7" w:rsidRPr="00710159" w:rsidRDefault="004112B6" w:rsidP="002F29A7">
      <w:pPr>
        <w:jc w:val="both"/>
      </w:pPr>
      <w:r>
        <w:t xml:space="preserve">1. Si </w:t>
      </w:r>
      <w:r w:rsidR="005402AE">
        <w:t>assiste in generale a una</w:t>
      </w:r>
      <w:r w:rsidR="002F29A7" w:rsidRPr="00710159">
        <w:t xml:space="preserve"> «perdita della Realtà» nella cultura</w:t>
      </w:r>
      <w:r w:rsidR="002F29A7">
        <w:t xml:space="preserve"> propria del mondo virtuale ossia dell’</w:t>
      </w:r>
      <w:proofErr w:type="spellStart"/>
      <w:r w:rsidR="002F29A7" w:rsidRPr="006E4812">
        <w:rPr>
          <w:i/>
        </w:rPr>
        <w:t>infosfera</w:t>
      </w:r>
      <w:proofErr w:type="spellEnd"/>
      <w:r w:rsidR="002F29A7">
        <w:t xml:space="preserve">, legata al dominio della «finzione» in molti ambiti </w:t>
      </w:r>
      <w:r w:rsidR="005402AE">
        <w:t>comunicativi. Ciò comporta</w:t>
      </w:r>
      <w:r w:rsidR="002F29A7" w:rsidRPr="00710159">
        <w:t xml:space="preserve"> un mondo di esperienza che non ha più le coordinate dell’alto/basso, trascendenza/immanenza, sostanza/apparenza, verità/opinione. Nella pratica ciò significa l’offerta di un prodotto privato della sua «sostanza»: si può avere tutto e tutto è permesso, privato della sostanza che lo rende pericoloso o fastidioso:</w:t>
      </w:r>
    </w:p>
    <w:p w:rsidR="002F29A7" w:rsidRPr="00710159" w:rsidRDefault="002F29A7" w:rsidP="002F29A7">
      <w:pPr>
        <w:ind w:left="170" w:right="170"/>
        <w:jc w:val="both"/>
        <w:rPr>
          <w:sz w:val="22"/>
          <w:szCs w:val="22"/>
        </w:rPr>
      </w:pPr>
    </w:p>
    <w:p w:rsidR="002F29A7" w:rsidRPr="00710159" w:rsidRDefault="002F29A7" w:rsidP="002F29A7">
      <w:pPr>
        <w:ind w:left="170" w:right="170"/>
        <w:jc w:val="both"/>
        <w:rPr>
          <w:sz w:val="22"/>
          <w:szCs w:val="22"/>
        </w:rPr>
      </w:pPr>
      <w:r w:rsidRPr="00710159">
        <w:rPr>
          <w:sz w:val="22"/>
          <w:szCs w:val="22"/>
        </w:rPr>
        <w:t xml:space="preserve">La realtà virtuale non fa che generalizzare questa pratica di offrire un prodotto privato delle sue proprietà: la stessa realtà è privata della sua sostanza, dello zoccolo duro e resistente del reale, come il </w:t>
      </w:r>
      <w:proofErr w:type="spellStart"/>
      <w:r w:rsidRPr="00710159">
        <w:rPr>
          <w:sz w:val="22"/>
          <w:szCs w:val="22"/>
        </w:rPr>
        <w:t>caffé</w:t>
      </w:r>
      <w:proofErr w:type="spellEnd"/>
      <w:r w:rsidRPr="00710159">
        <w:rPr>
          <w:sz w:val="22"/>
          <w:szCs w:val="22"/>
        </w:rPr>
        <w:t xml:space="preserve"> decaffeinato odora di </w:t>
      </w:r>
      <w:proofErr w:type="spellStart"/>
      <w:r w:rsidRPr="00710159">
        <w:rPr>
          <w:sz w:val="22"/>
          <w:szCs w:val="22"/>
        </w:rPr>
        <w:t>caffé</w:t>
      </w:r>
      <w:proofErr w:type="spellEnd"/>
      <w:r w:rsidRPr="00710159">
        <w:rPr>
          <w:sz w:val="22"/>
          <w:szCs w:val="22"/>
        </w:rPr>
        <w:t xml:space="preserve">, ha il sapore del </w:t>
      </w:r>
      <w:proofErr w:type="spellStart"/>
      <w:r w:rsidRPr="00710159">
        <w:rPr>
          <w:sz w:val="22"/>
          <w:szCs w:val="22"/>
        </w:rPr>
        <w:t>caffé</w:t>
      </w:r>
      <w:proofErr w:type="spellEnd"/>
      <w:r w:rsidRPr="00710159">
        <w:rPr>
          <w:sz w:val="22"/>
          <w:szCs w:val="22"/>
        </w:rPr>
        <w:t>, pur senza esserlo. La realtà virtuale viene vissuta come realtà pur senza esserlo. Quel che tuttavia ci attende alla fine di questo processo di virtualizzazione è che cominciamo a percepire la stessa realtà reale come un’entità virtuale (</w:t>
      </w:r>
      <w:r w:rsidRPr="00710159">
        <w:rPr>
          <w:smallCaps/>
          <w:sz w:val="22"/>
          <w:szCs w:val="22"/>
        </w:rPr>
        <w:t xml:space="preserve">S. </w:t>
      </w:r>
      <w:proofErr w:type="spellStart"/>
      <w:r w:rsidRPr="00710159">
        <w:rPr>
          <w:smallCaps/>
          <w:sz w:val="22"/>
          <w:szCs w:val="22"/>
        </w:rPr>
        <w:t>Zizek</w:t>
      </w:r>
      <w:proofErr w:type="spellEnd"/>
      <w:r w:rsidRPr="00710159">
        <w:rPr>
          <w:sz w:val="22"/>
          <w:szCs w:val="22"/>
        </w:rPr>
        <w:t xml:space="preserve">, </w:t>
      </w:r>
      <w:r w:rsidRPr="00710159">
        <w:rPr>
          <w:i/>
          <w:sz w:val="22"/>
          <w:szCs w:val="22"/>
        </w:rPr>
        <w:t>Distanza di sicurezza. Cronache del mondo rimosso</w:t>
      </w:r>
      <w:r w:rsidRPr="00710159">
        <w:rPr>
          <w:sz w:val="22"/>
          <w:szCs w:val="22"/>
        </w:rPr>
        <w:t xml:space="preserve">, </w:t>
      </w:r>
      <w:proofErr w:type="spellStart"/>
      <w:r w:rsidRPr="00710159">
        <w:rPr>
          <w:sz w:val="22"/>
          <w:szCs w:val="22"/>
        </w:rPr>
        <w:t>Manifestolibri</w:t>
      </w:r>
      <w:proofErr w:type="spellEnd"/>
      <w:r w:rsidRPr="00710159">
        <w:rPr>
          <w:sz w:val="22"/>
          <w:szCs w:val="22"/>
        </w:rPr>
        <w:t>, Roma 2005, 142-143)</w:t>
      </w:r>
    </w:p>
    <w:p w:rsidR="002F29A7" w:rsidRPr="00710159" w:rsidRDefault="002F29A7" w:rsidP="002F29A7">
      <w:pPr>
        <w:ind w:left="170" w:right="170"/>
        <w:jc w:val="both"/>
        <w:rPr>
          <w:sz w:val="22"/>
          <w:szCs w:val="22"/>
        </w:rPr>
      </w:pPr>
    </w:p>
    <w:p w:rsidR="002F29A7" w:rsidRPr="00BE719C" w:rsidRDefault="002F29A7" w:rsidP="002F29A7">
      <w:pPr>
        <w:jc w:val="both"/>
      </w:pPr>
      <w:r w:rsidRPr="00BE719C">
        <w:lastRenderedPageBreak/>
        <w:t>Come ricade sulla religione questo processo di svuotamento delle cose, che investe i diversi settori della realtà (cibo, prodotti del mercato, sesso, vacanze), distribuendo apparenza nel reale, spazi artificiali e vuoti, «de-</w:t>
      </w:r>
      <w:proofErr w:type="spellStart"/>
      <w:r w:rsidRPr="00BE719C">
        <w:t>sostanzializzati</w:t>
      </w:r>
      <w:proofErr w:type="spellEnd"/>
      <w:r w:rsidRPr="00BE719C">
        <w:t>»?</w:t>
      </w:r>
    </w:p>
    <w:p w:rsidR="002F29A7" w:rsidRPr="00BE719C" w:rsidRDefault="002F29A7" w:rsidP="002F29A7">
      <w:pPr>
        <w:ind w:left="170" w:right="170"/>
        <w:jc w:val="both"/>
        <w:rPr>
          <w:sz w:val="22"/>
          <w:szCs w:val="22"/>
        </w:rPr>
      </w:pPr>
    </w:p>
    <w:p w:rsidR="002F29A7" w:rsidRPr="00BE719C" w:rsidRDefault="002F29A7" w:rsidP="002F29A7">
      <w:pPr>
        <w:ind w:left="170" w:right="170"/>
        <w:jc w:val="both"/>
        <w:rPr>
          <w:sz w:val="22"/>
          <w:szCs w:val="22"/>
        </w:rPr>
      </w:pPr>
      <w:r w:rsidRPr="00BE719C">
        <w:rPr>
          <w:sz w:val="22"/>
          <w:szCs w:val="22"/>
        </w:rPr>
        <w:t>Forse il divieto di abbracciare un credo con totale passione spiega perché oggi la cultura stia emergendo come la categoria centrale della vita e del mondo. La religione è permessa non come un modo di vivere sostanziale, ma come una particolare “cultura” o, piuttosto, un fenomeno riguardante gli stili di vita: ciò che la legittima non è la sua pretesa di verità immanente, ma il modo in cui essa ci permette di esprimere i nostri sentimenti e atteggiamenti più riposti. Noi non crediamo più veramente; semplicemente, seguiamo (alcuni) rituali e usi religiosi per rispetto allo stile di vita della comunità a cui apparteniamo… Cos’è uno stile di vita culturale se non il fatto che, anche se non crediamo in Babbo Natale, a dicembre c’è un albero di Natale in ogni casa e anche nei luoghi pubblici? Forse, allora, “cultura” è il nome per tutte quelle cose che pratichiamo senza crederci veramente, senza “prenderle sul serio”. Non è questo il motivo per cui la scienza – troppo reale – non rientra nella categoria di cultura? E non è questo il motivo per cui liquidiamo i credenti fondamentalisti… come “barbari”, come “anti-culturali”, come minaccia alla cultura? (</w:t>
      </w:r>
      <w:r w:rsidRPr="00BE719C">
        <w:rPr>
          <w:i/>
          <w:sz w:val="22"/>
          <w:szCs w:val="22"/>
        </w:rPr>
        <w:t>Ivi</w:t>
      </w:r>
      <w:r w:rsidRPr="00BE719C">
        <w:rPr>
          <w:sz w:val="22"/>
          <w:szCs w:val="22"/>
        </w:rPr>
        <w:t>, 80-81).</w:t>
      </w:r>
    </w:p>
    <w:p w:rsidR="002F29A7" w:rsidRPr="00BE719C" w:rsidRDefault="002F29A7" w:rsidP="002F29A7">
      <w:pPr>
        <w:ind w:left="170" w:right="170"/>
        <w:jc w:val="both"/>
        <w:rPr>
          <w:sz w:val="22"/>
          <w:szCs w:val="22"/>
        </w:rPr>
      </w:pPr>
    </w:p>
    <w:p w:rsidR="002F29A7" w:rsidRPr="00BE719C" w:rsidRDefault="002F29A7" w:rsidP="002F29A7">
      <w:pPr>
        <w:jc w:val="both"/>
      </w:pPr>
      <w:r w:rsidRPr="004E1997">
        <w:rPr>
          <w:i/>
        </w:rPr>
        <w:t>L’esito</w:t>
      </w:r>
      <w:r>
        <w:t xml:space="preserve">. </w:t>
      </w:r>
      <w:r w:rsidRPr="00BE719C">
        <w:t>La religione recede nell’ambito dell’</w:t>
      </w:r>
      <w:r w:rsidRPr="00BE719C">
        <w:rPr>
          <w:i/>
        </w:rPr>
        <w:t>immaginario</w:t>
      </w:r>
      <w:r w:rsidRPr="00BE719C">
        <w:t>. Non organizza l’</w:t>
      </w:r>
      <w:r w:rsidRPr="00BE719C">
        <w:rPr>
          <w:i/>
        </w:rPr>
        <w:t>ordine simbolico</w:t>
      </w:r>
      <w:r w:rsidRPr="00BE719C">
        <w:t xml:space="preserve"> dei legami sociali e dei codici (linguistici) comunicativi. Tanto meno pretende di andare alla sostanza delle cose per </w:t>
      </w:r>
      <w:r w:rsidRPr="00BE719C">
        <w:rPr>
          <w:i/>
        </w:rPr>
        <w:t>incontrare la realtà</w:t>
      </w:r>
      <w:r w:rsidRPr="00BE719C">
        <w:t>. Ne deriva la sfida per la religione: aiutare a «fare esperienza» (non a percepire qualcosa o a immaginare/sognare).</w:t>
      </w:r>
    </w:p>
    <w:p w:rsidR="00EB23B1" w:rsidRDefault="00EB23B1" w:rsidP="00EB23B1">
      <w:pPr>
        <w:jc w:val="both"/>
      </w:pPr>
      <w:r>
        <w:t>Mettiamo a fuoco però il disagio derivante da una cultura che ha perso quella visione del mondo (ordine simbolico) che struttura le operazioni e i legami fondamentali in cui l’umano si plasma</w:t>
      </w:r>
      <w:r>
        <w:rPr>
          <w:rStyle w:val="Rimandonotaapidipagina"/>
        </w:rPr>
        <w:footnoteReference w:id="18"/>
      </w:r>
      <w:r>
        <w:t>. Così la coscienza del soggetto assume il compito di plasmare un’identità senza sentirsi autorizzato dal contesto culturale e sociale e così resta solo proprio di fronte al compito di diventare se stesso. Si deve perciò «inventare», provando varie esperienze ed avventure di senso, senza pretesa di verità. Ne deriva la «società del rischio», in cui ci si inventa, senza sentirsi chiamati al compito di diventare se stessi a partire da testimoni autorevoli (padri), ma in base alle proprie emozioni o, al massimo, in nome dell’auto-realizzazione. Così, alla fine, il soggetto non plasma un’identità stabile, ma cerca gratificazioni immediate che sostengano provvisoriamente la fatica di vivere. Ne derivano conseguenze nel «dramma della libertà», ossia nella vicenda in cui l’uomo impara a volere se stesso nelle cose che fa:</w:t>
      </w:r>
    </w:p>
    <w:p w:rsidR="00EB23B1" w:rsidRDefault="00EB23B1" w:rsidP="00EB23B1">
      <w:pPr>
        <w:ind w:left="170" w:right="170"/>
        <w:jc w:val="both"/>
        <w:rPr>
          <w:sz w:val="22"/>
        </w:rPr>
      </w:pPr>
    </w:p>
    <w:p w:rsidR="00EB23B1" w:rsidRDefault="00EB23B1" w:rsidP="00EB23B1">
      <w:pPr>
        <w:ind w:left="170" w:right="170"/>
        <w:jc w:val="both"/>
        <w:rPr>
          <w:sz w:val="22"/>
        </w:rPr>
      </w:pPr>
      <w:r>
        <w:rPr>
          <w:sz w:val="22"/>
        </w:rPr>
        <w:t xml:space="preserve">Tale drammatica ci mostra che lo scorrere del tempo, in cui si dipana la vicenda della libertà, conduce a scontrarsi con una scoperta inquietante: ovvero la scoperta che la vita promette sempre più di quanto in realtà sia in grado di mantenere… Tale condizione di fatto espone l’uomo alla tentazione di avventurarsi nell’impresa dell’auto-affermazione: si tratta del tentativo di assicurarsi in maniera certa il prodotto della vita buona a partire dalle risorse razionali e strumentali… L’impresa dell’auto-affermazione si rivela però tragicamente illusoria: infatti in realtà non esiste nessuna tecnica e strategia che possa effettivamente liberare l’esistenza dalla sua instabilità e incompiutezza. Di fronte a tale scacco si può allora imboccare la via dell’insofferenza e del disincanto; oppure si può cercare una fuga nella inconsapevolezza, nella provvisorietà, nell’adolescenza interminabile… sulla soglie dell’oscillazione tra disincanto isterico e distrazione ossessiva. In realtà, la stessa fenomenologia dell’umano permette anche di evidenziare la presenza di un intuito antropologico, che intravede la possibile alternativa </w:t>
      </w:r>
      <w:r w:rsidRPr="000A4B54">
        <w:rPr>
          <w:i/>
          <w:sz w:val="22"/>
        </w:rPr>
        <w:t>nel passaggio dall’auto-affermazione all’affidamento</w:t>
      </w:r>
      <w:r>
        <w:rPr>
          <w:sz w:val="22"/>
        </w:rPr>
        <w:t>. Rimane tuttavia aperto il nostro problema: quale alterità autorizza un affidamento incondizionato e dunque davvero salvifico?</w:t>
      </w:r>
      <w:r>
        <w:rPr>
          <w:rStyle w:val="Rimandonotaapidipagina"/>
          <w:sz w:val="22"/>
        </w:rPr>
        <w:footnoteReference w:id="19"/>
      </w:r>
      <w:r>
        <w:rPr>
          <w:sz w:val="22"/>
        </w:rPr>
        <w:t>.</w:t>
      </w:r>
    </w:p>
    <w:p w:rsidR="00EB23B1" w:rsidRPr="002405EE" w:rsidRDefault="00EB23B1" w:rsidP="00EB23B1">
      <w:pPr>
        <w:ind w:left="170" w:right="170"/>
        <w:jc w:val="both"/>
        <w:rPr>
          <w:sz w:val="22"/>
        </w:rPr>
      </w:pPr>
    </w:p>
    <w:p w:rsidR="00EB23B1" w:rsidRPr="001A44E3" w:rsidRDefault="004112B6" w:rsidP="00EB23B1">
      <w:pPr>
        <w:jc w:val="both"/>
      </w:pPr>
      <w:r>
        <w:t xml:space="preserve">2. </w:t>
      </w:r>
      <w:r w:rsidR="00EB23B1">
        <w:t xml:space="preserve">La ricaduta di questa situazione sul funzionamento del bisogno spirituale è ben delineata da P.A. </w:t>
      </w:r>
      <w:proofErr w:type="spellStart"/>
      <w:r w:rsidR="00EB23B1">
        <w:t>Sequeri</w:t>
      </w:r>
      <w:proofErr w:type="spellEnd"/>
      <w:r w:rsidR="00EB23B1">
        <w:t xml:space="preserve">: non si dà autentica esperienza spirituale se non in una vicenda storica che dia forma al </w:t>
      </w:r>
      <w:r w:rsidR="00EB23B1">
        <w:lastRenderedPageBreak/>
        <w:t>soggetto nella sua identità concreta, che plasmi l’identità del soggetto. Ma proprio questo fa problema alla sensibilità spirituale postmoderna e alla sua organizzazione sociale del religioso</w:t>
      </w:r>
      <w:r w:rsidR="00EB23B1" w:rsidRPr="001A44E3">
        <w:rPr>
          <w:rStyle w:val="Rimandonotaapidipagina"/>
        </w:rPr>
        <w:footnoteReference w:id="20"/>
      </w:r>
      <w:r w:rsidR="00EB23B1">
        <w:t>:</w:t>
      </w:r>
    </w:p>
    <w:p w:rsidR="00EB23B1" w:rsidRDefault="00EB23B1" w:rsidP="00EB23B1">
      <w:pPr>
        <w:jc w:val="both"/>
        <w:rPr>
          <w:sz w:val="22"/>
          <w:szCs w:val="22"/>
        </w:rPr>
      </w:pPr>
    </w:p>
    <w:p w:rsidR="00EB23B1" w:rsidRDefault="00EB23B1" w:rsidP="00EB23B1">
      <w:pPr>
        <w:ind w:left="170" w:right="170"/>
        <w:jc w:val="both"/>
        <w:rPr>
          <w:sz w:val="22"/>
          <w:szCs w:val="22"/>
        </w:rPr>
      </w:pPr>
      <w:r>
        <w:rPr>
          <w:sz w:val="22"/>
          <w:szCs w:val="22"/>
        </w:rPr>
        <w:t>Il suo referente [della spiritualità] non è più la realtà del rapporto teologale, ma neppure la forma morale della coscienza o lo sviluppo qualitativo dell’interiorità dell’uomo […] La sfera della coscienza credente, che è struttura originaria dell’accesso alla vita spirituale, è priva di pubblica legittimazione. Come realtà condivisa semplicemente non riesce ad esistere. Non ha referente, non ha riconoscimento, non ha linguaggio. Troppo precipitosamente, è subito già “una” fede, “una” religione, “una” morale, “un” senso possibile. Piuttosto che niente una “scelta”… Non c’è quasi più un referente obiettivo di quella esperienza che la identifichi come un tratto comune, del quale si possa parlare come di una realtà condivisa al di là delle molteplici interpretazioni</w:t>
      </w:r>
      <w:r>
        <w:rPr>
          <w:rStyle w:val="Rimandonotaapidipagina"/>
          <w:szCs w:val="22"/>
        </w:rPr>
        <w:footnoteReference w:id="21"/>
      </w:r>
      <w:r>
        <w:rPr>
          <w:sz w:val="22"/>
          <w:szCs w:val="22"/>
        </w:rPr>
        <w:t>.</w:t>
      </w:r>
    </w:p>
    <w:p w:rsidR="00EB23B1" w:rsidRPr="00745DB0" w:rsidRDefault="00EB23B1" w:rsidP="00EB23B1">
      <w:pPr>
        <w:ind w:left="170" w:right="170"/>
        <w:jc w:val="both"/>
        <w:rPr>
          <w:sz w:val="22"/>
          <w:szCs w:val="22"/>
        </w:rPr>
      </w:pPr>
    </w:p>
    <w:p w:rsidR="00EB23B1" w:rsidRPr="00634281" w:rsidRDefault="00EB23B1" w:rsidP="00EB23B1">
      <w:pPr>
        <w:jc w:val="both"/>
      </w:pPr>
      <w:r w:rsidRPr="00634281">
        <w:t xml:space="preserve">Così l’identità spirituale del singolo è questione privata, benché sia proprio in essa che l’uomo riconosce ciò che è veramente degno dell’umano. </w:t>
      </w:r>
      <w:r>
        <w:t>Per reazione, i</w:t>
      </w:r>
      <w:r w:rsidRPr="00634281">
        <w:t xml:space="preserve">l referente elementare e concreto dell’esperienza spirituale rimane quello inscritto nel </w:t>
      </w:r>
      <w:r w:rsidRPr="00634281">
        <w:rPr>
          <w:i/>
        </w:rPr>
        <w:t>circolo delle emozioni e del sentimento d’amore</w:t>
      </w:r>
      <w:r w:rsidRPr="00634281">
        <w:t>:</w:t>
      </w:r>
    </w:p>
    <w:p w:rsidR="00EB23B1" w:rsidRDefault="00EB23B1" w:rsidP="00EB23B1">
      <w:pPr>
        <w:ind w:left="170" w:right="170"/>
        <w:jc w:val="both"/>
        <w:rPr>
          <w:sz w:val="22"/>
          <w:szCs w:val="22"/>
        </w:rPr>
      </w:pPr>
    </w:p>
    <w:p w:rsidR="00EB23B1" w:rsidRDefault="00EB23B1" w:rsidP="00EB23B1">
      <w:pPr>
        <w:ind w:left="170" w:right="170"/>
        <w:jc w:val="both"/>
        <w:rPr>
          <w:sz w:val="22"/>
          <w:szCs w:val="22"/>
        </w:rPr>
      </w:pPr>
      <w:r>
        <w:rPr>
          <w:sz w:val="22"/>
          <w:szCs w:val="22"/>
        </w:rPr>
        <w:t>La riduzione dell’idea di esperienza spirituale al profilo dell’emozione e dell’innamoramento, ha il vantaggio di fornire un referente facile da intendere e ideologicamente non compromesso. Il rimando dell’interiorità spirituale alla profondità dell’emozione e all’intensità dell’innamoramento fornisce un’indicazione relativamente precisa e sufficientemente semplice. Elude infatti la necessità di fare riferimento ad una figura troppo sofisticata e impegnativa dell’esperienza spirituale… In più si tratta di un profilo dell’esperienza che è largamente ospitale nei confronti del più ampio spettro di posizioni ideologiche o pratiche</w:t>
      </w:r>
      <w:r>
        <w:rPr>
          <w:rStyle w:val="Rimandonotaapidipagina"/>
          <w:szCs w:val="22"/>
        </w:rPr>
        <w:footnoteReference w:id="22"/>
      </w:r>
      <w:r>
        <w:rPr>
          <w:sz w:val="22"/>
          <w:szCs w:val="22"/>
        </w:rPr>
        <w:t>.</w:t>
      </w:r>
    </w:p>
    <w:p w:rsidR="00EB23B1" w:rsidRPr="000306F8" w:rsidRDefault="00EB23B1" w:rsidP="00EB23B1">
      <w:pPr>
        <w:ind w:left="170" w:right="170"/>
        <w:jc w:val="both"/>
        <w:rPr>
          <w:sz w:val="22"/>
          <w:szCs w:val="22"/>
        </w:rPr>
      </w:pPr>
    </w:p>
    <w:p w:rsidR="00EB23B1" w:rsidRDefault="00EB23B1" w:rsidP="00EB23B1">
      <w:pPr>
        <w:pStyle w:val="Corpotesto"/>
        <w:spacing w:after="0"/>
        <w:jc w:val="both"/>
        <w:rPr>
          <w:szCs w:val="22"/>
        </w:rPr>
      </w:pPr>
      <w:r>
        <w:t>Ma questa «</w:t>
      </w:r>
      <w:proofErr w:type="spellStart"/>
      <w:r>
        <w:t>estetizzazione</w:t>
      </w:r>
      <w:proofErr w:type="spellEnd"/>
      <w:r>
        <w:t>»</w:t>
      </w:r>
      <w:r w:rsidRPr="00BF2AB2">
        <w:t xml:space="preserve"> dell’esperienza spirituale è sintomo di una rassegnazione all’impotenza spirituale, più che segno della vita spirituale e della sua emergenza. Le emozioni sono diventate l’unica evidenza universale della sua esistenza. Ma qui sorge il problema: perché se da un lato nulla sembra più personale, ricco e coinvolgente dell’emozione, in verità niente è più generico ed elementare dell’emozione e quindi più capace di circolare e di essere consumato anonimamente. </w:t>
      </w:r>
      <w:r>
        <w:t>Così, l</w:t>
      </w:r>
      <w:r w:rsidRPr="00BF2AB2">
        <w:t>a domanda di spiritualità non raggiunge le cose che danno forma alla vita</w:t>
      </w:r>
      <w:r>
        <w:t>.</w:t>
      </w:r>
    </w:p>
    <w:p w:rsidR="00EB23B1" w:rsidRDefault="00EB23B1" w:rsidP="002F29A7">
      <w:pPr>
        <w:pStyle w:val="Corpotesto"/>
        <w:spacing w:after="0"/>
        <w:jc w:val="both"/>
        <w:rPr>
          <w:szCs w:val="22"/>
        </w:rPr>
      </w:pPr>
    </w:p>
    <w:p w:rsidR="005402AE" w:rsidRDefault="004112B6" w:rsidP="002F29A7">
      <w:pPr>
        <w:pStyle w:val="Corpotesto"/>
        <w:spacing w:after="0"/>
        <w:jc w:val="both"/>
        <w:rPr>
          <w:szCs w:val="22"/>
        </w:rPr>
      </w:pPr>
      <w:r>
        <w:rPr>
          <w:szCs w:val="22"/>
        </w:rPr>
        <w:t xml:space="preserve">3. </w:t>
      </w:r>
      <w:r w:rsidR="00EB23B1">
        <w:rPr>
          <w:szCs w:val="22"/>
        </w:rPr>
        <w:t xml:space="preserve">La </w:t>
      </w:r>
      <w:r w:rsidR="00EB23B1" w:rsidRPr="00EB23B1">
        <w:rPr>
          <w:i/>
          <w:szCs w:val="22"/>
        </w:rPr>
        <w:t>diffusione della religione on line</w:t>
      </w:r>
      <w:r w:rsidR="00EB23B1">
        <w:rPr>
          <w:szCs w:val="22"/>
        </w:rPr>
        <w:t xml:space="preserve"> non fa altro che intensificare questo funzionamento della religione. </w:t>
      </w:r>
      <w:r w:rsidR="005402AE">
        <w:rPr>
          <w:szCs w:val="22"/>
        </w:rPr>
        <w:t>Un’interessante diagnosi della situazione dell’esperienza religiosa nell’</w:t>
      </w:r>
      <w:proofErr w:type="spellStart"/>
      <w:r w:rsidR="005402AE">
        <w:rPr>
          <w:szCs w:val="22"/>
        </w:rPr>
        <w:t>infosfera</w:t>
      </w:r>
      <w:proofErr w:type="spellEnd"/>
      <w:r w:rsidR="005402AE">
        <w:rPr>
          <w:szCs w:val="22"/>
        </w:rPr>
        <w:t xml:space="preserve"> è offerta dal documento della CTI, </w:t>
      </w:r>
      <w:r w:rsidR="005402AE" w:rsidRPr="005402AE">
        <w:rPr>
          <w:i/>
          <w:szCs w:val="22"/>
        </w:rPr>
        <w:t xml:space="preserve">Quo </w:t>
      </w:r>
      <w:proofErr w:type="spellStart"/>
      <w:r w:rsidR="005402AE" w:rsidRPr="005402AE">
        <w:rPr>
          <w:i/>
          <w:szCs w:val="22"/>
        </w:rPr>
        <w:t>vadis</w:t>
      </w:r>
      <w:proofErr w:type="spellEnd"/>
      <w:r w:rsidR="005402AE" w:rsidRPr="005402AE">
        <w:rPr>
          <w:i/>
          <w:szCs w:val="22"/>
        </w:rPr>
        <w:t xml:space="preserve">, </w:t>
      </w:r>
      <w:proofErr w:type="spellStart"/>
      <w:r w:rsidR="005402AE" w:rsidRPr="005402AE">
        <w:rPr>
          <w:i/>
          <w:szCs w:val="22"/>
        </w:rPr>
        <w:t>humanitas</w:t>
      </w:r>
      <w:proofErr w:type="spellEnd"/>
      <w:r w:rsidR="005402AE" w:rsidRPr="005402AE">
        <w:rPr>
          <w:i/>
          <w:szCs w:val="22"/>
        </w:rPr>
        <w:t>?</w:t>
      </w:r>
      <w:r w:rsidR="005402AE">
        <w:rPr>
          <w:szCs w:val="22"/>
        </w:rPr>
        <w:t xml:space="preserve"> del 2026 quando analizza i mutamenti della relazione con Dio nel mondo virtuale (punto 2.4):</w:t>
      </w:r>
    </w:p>
    <w:p w:rsidR="005402AE" w:rsidRDefault="005402AE" w:rsidP="002F29A7">
      <w:pPr>
        <w:pStyle w:val="Corpotesto"/>
        <w:spacing w:after="0"/>
        <w:jc w:val="both"/>
        <w:rPr>
          <w:szCs w:val="22"/>
        </w:rPr>
      </w:pPr>
    </w:p>
    <w:p w:rsidR="005402AE" w:rsidRPr="00CB5DFF" w:rsidRDefault="005402AE" w:rsidP="005402AE">
      <w:pPr>
        <w:ind w:left="170" w:right="170"/>
        <w:jc w:val="both"/>
      </w:pPr>
      <w:r w:rsidRPr="00B14CED">
        <w:rPr>
          <w:iCs/>
        </w:rPr>
        <w:t xml:space="preserve">48. </w:t>
      </w:r>
      <w:r w:rsidRPr="00B14CED">
        <w:t xml:space="preserve">Le tecnologie digitali offrono </w:t>
      </w:r>
      <w:r w:rsidRPr="00CB5DFF">
        <w:t>molte opportunità</w:t>
      </w:r>
      <w:r>
        <w:rPr>
          <w:color w:val="0070C0"/>
        </w:rPr>
        <w:t xml:space="preserve"> </w:t>
      </w:r>
      <w:r w:rsidRPr="00B14CED">
        <w:t>alle religioni</w:t>
      </w:r>
      <w:r>
        <w:t xml:space="preserve"> </w:t>
      </w:r>
      <w:r w:rsidRPr="006E6527">
        <w:t>che mobilitano le risorse della comunicazione digitale a servizio della loro missione</w:t>
      </w:r>
      <w:r w:rsidRPr="00B14CED">
        <w:t>. La rete è oggi un “luogo” dove si possono trovare molte proposte positive di vita religiosa e di vita cristiana, che facilitano conoscenza e informazione in modalità inimmaginabili fino a poco fa. Basterebbe evocare quanta comunicazione religiosa sia “esplosa” durante la pandemia del Covid-19.</w:t>
      </w:r>
      <w:r w:rsidRPr="00B14CED">
        <w:rPr>
          <w:rStyle w:val="Rimandonotaapidipagina"/>
        </w:rPr>
        <w:footnoteReference w:id="23"/>
      </w:r>
      <w:r w:rsidRPr="00B14CED">
        <w:t xml:space="preserve"> </w:t>
      </w:r>
      <w:r w:rsidRPr="00CB5DFF">
        <w:t xml:space="preserve">D’altra parte, c’è il rischio che una grande varietà di religioni digitali riempiano la rete come un gigantesco “mercato religioso”, che offre una scelta </w:t>
      </w:r>
      <w:r w:rsidRPr="00CB5DFF">
        <w:rPr>
          <w:i/>
          <w:iCs/>
        </w:rPr>
        <w:t>à la carte</w:t>
      </w:r>
      <w:r w:rsidRPr="00CB5DFF">
        <w:t xml:space="preserve"> secondo interessi individuali. Si tratta di offerte religiose senza legami reali né appartenenza comunitaria, più vicini ai gusti emotivi dei singoli che a un’esperienza condivisa. Si può anche dubitare del carattere autenticamente </w:t>
      </w:r>
      <w:r w:rsidRPr="00CB5DFF">
        <w:lastRenderedPageBreak/>
        <w:t>ecclesiale di certa comunicazione cristiana nei social network, specie quando impiegata per alimentare polemiche, creare divisioni e persino distruggere la buona fama di altre persone. Inoltre, alcune di queste nuove pratiche spirituali online finiscono col produrre una metamorfosi nel modo di credere, poiché la tecnologia digitale ha una presa molto forte sull’immaginario religioso. Non di rado, il risultato è un nuovo paradigma che ridefinisce le identità religiose: la tecnologia funge essa stessa anche da guida spirituale e mediatrice del sacro. In effetti, i devoti di varie religioni e i ricercatori spirituali spesso ripongono una fiducia indiscriminata nei motori di ricerca online, rendendo superflue le mediazioni umane del sacro, sostituite dal digitale. I casi estremi arrivano alle richieste di benedizioni e di esorcismi virtuali, allo spiritismo digitale e alle “false religioni” tridimensionali.</w:t>
      </w:r>
    </w:p>
    <w:p w:rsidR="005402AE" w:rsidRPr="00B14CED" w:rsidRDefault="005402AE" w:rsidP="005402AE">
      <w:pPr>
        <w:suppressLineNumbers/>
        <w:ind w:left="170" w:right="170"/>
        <w:jc w:val="both"/>
      </w:pPr>
    </w:p>
    <w:p w:rsidR="005402AE" w:rsidRPr="00B14CED" w:rsidRDefault="005402AE" w:rsidP="005402AE">
      <w:pPr>
        <w:ind w:left="170" w:right="170"/>
        <w:jc w:val="both"/>
      </w:pPr>
      <w:r w:rsidRPr="00B14CED">
        <w:t xml:space="preserve">49. Questa fiducia in un mondo governato dalle macchine, che non solo facilita la messa a disposizione delle risorse religiose, ma anche la ricezione diretta di proposte di senso della vita e di accesso al divino da parte della tecnologia digitale, non è lontana dalla logica </w:t>
      </w:r>
      <w:proofErr w:type="spellStart"/>
      <w:r w:rsidRPr="00B14CED">
        <w:rPr>
          <w:i/>
          <w:iCs/>
        </w:rPr>
        <w:t>transumanista</w:t>
      </w:r>
      <w:proofErr w:type="spellEnd"/>
      <w:r w:rsidRPr="00B14CED">
        <w:t xml:space="preserve"> e </w:t>
      </w:r>
      <w:proofErr w:type="spellStart"/>
      <w:r w:rsidRPr="00B14CED">
        <w:rPr>
          <w:i/>
          <w:iCs/>
        </w:rPr>
        <w:t>postumanista</w:t>
      </w:r>
      <w:proofErr w:type="spellEnd"/>
      <w:r w:rsidRPr="00B14CED">
        <w:t xml:space="preserve">: la religione digitale si presenta come </w:t>
      </w:r>
      <w:r w:rsidRPr="00CB5DFF">
        <w:t>se avesse addirittura il</w:t>
      </w:r>
      <w:r w:rsidRPr="00B14CED">
        <w:t xml:space="preserve"> potere di creare un “Dio a propria immagine e somiglianza” da proporre a un’umanità che ripone una fiducia totale nella tecnologia. Il “Dio vivente” può essere sostituito da un “Dio virtuale” con la pretesa di “salvare” l’umanità sulla base di prestazioni tecnologiche messe a disposizione delle aspirazioni spirituali dell’essere umano.</w:t>
      </w:r>
      <w:r w:rsidRPr="00B14CED">
        <w:rPr>
          <w:rStyle w:val="Rimandonotaapidipagina"/>
        </w:rPr>
        <w:footnoteReference w:id="24"/>
      </w:r>
    </w:p>
    <w:p w:rsidR="005402AE" w:rsidRPr="00B14CED" w:rsidRDefault="005402AE" w:rsidP="005402AE">
      <w:pPr>
        <w:suppressLineNumbers/>
        <w:ind w:left="170" w:right="170"/>
        <w:jc w:val="both"/>
      </w:pPr>
    </w:p>
    <w:p w:rsidR="005402AE" w:rsidRDefault="005402AE" w:rsidP="005402AE">
      <w:pPr>
        <w:pStyle w:val="Corpotesto"/>
        <w:spacing w:after="0"/>
        <w:ind w:left="170" w:right="170"/>
        <w:jc w:val="both"/>
        <w:rPr>
          <w:szCs w:val="22"/>
        </w:rPr>
      </w:pPr>
      <w:r w:rsidRPr="006E6527">
        <w:t>50. In sintesi, queste trasformazioni influiscono sul rapporto col Mistero dell’origine e del fine ultimo della vita umana. Quando l’essere umano riduce la natura creata (persona, cosmo) a materia da trasformare, non manifesta più la gloria del Creatore, ma si sostituisce a Lui. Lo stesso accade quando il compito di dare senso all’esistenza e indicare il fine ultimo si identifica con l’implementazione delle potenzialità tecnologiche. In questo contesto le tradizioni religiose e spirituali hanno ancora da dare qualcosa di essenziale e irrinunciabile</w:t>
      </w:r>
      <w:r w:rsidRPr="00BB5C3D">
        <w:t xml:space="preserve"> riguardo alla sapienza del vivere in rapporto a Dio.</w:t>
      </w:r>
      <w:r w:rsidRPr="00BB5C3D">
        <w:rPr>
          <w:rStyle w:val="Rimandonotaapidipagina"/>
        </w:rPr>
        <w:footnoteReference w:id="25"/>
      </w:r>
    </w:p>
    <w:p w:rsidR="005402AE" w:rsidRDefault="005402AE" w:rsidP="002F29A7">
      <w:pPr>
        <w:pStyle w:val="Corpotesto"/>
        <w:spacing w:after="0"/>
        <w:jc w:val="both"/>
        <w:rPr>
          <w:szCs w:val="22"/>
        </w:rPr>
      </w:pPr>
    </w:p>
    <w:p w:rsidR="002F29A7" w:rsidRPr="006357F3" w:rsidRDefault="00BC58DD" w:rsidP="002F29A7">
      <w:pPr>
        <w:pStyle w:val="Corpotesto"/>
        <w:spacing w:after="0"/>
        <w:jc w:val="both"/>
      </w:pPr>
      <w:r w:rsidRPr="00BC58DD">
        <w:rPr>
          <w:b/>
          <w:i/>
        </w:rPr>
        <w:t>(b)</w:t>
      </w:r>
      <w:r>
        <w:rPr>
          <w:i/>
        </w:rPr>
        <w:t xml:space="preserve"> </w:t>
      </w:r>
      <w:r w:rsidR="002F29A7" w:rsidRPr="00455373">
        <w:rPr>
          <w:i/>
        </w:rPr>
        <w:t>Ma come funziona la fede rispetto alla religione in una visione post-teista “oltre la religione”?</w:t>
      </w:r>
    </w:p>
    <w:p w:rsidR="002F29A7" w:rsidRDefault="00BC58DD" w:rsidP="002F29A7">
      <w:pPr>
        <w:jc w:val="both"/>
        <w:rPr>
          <w:i/>
        </w:rPr>
      </w:pPr>
      <w:r>
        <w:rPr>
          <w:i/>
        </w:rPr>
        <w:t>(</w:t>
      </w:r>
      <w:r w:rsidR="002F29A7" w:rsidRPr="008A2C52">
        <w:rPr>
          <w:i/>
        </w:rPr>
        <w:t>P. Gamberini e la spiritualità non-teista</w:t>
      </w:r>
      <w:r>
        <w:rPr>
          <w:i/>
        </w:rPr>
        <w:t>)</w:t>
      </w:r>
      <w:r w:rsidR="002F29A7">
        <w:t>.</w:t>
      </w:r>
    </w:p>
    <w:p w:rsidR="00BC58DD" w:rsidRDefault="00BC58DD" w:rsidP="002F29A7">
      <w:pPr>
        <w:jc w:val="both"/>
      </w:pPr>
    </w:p>
    <w:p w:rsidR="002F29A7" w:rsidRPr="008A2C52" w:rsidRDefault="002F29A7" w:rsidP="002F29A7">
      <w:pPr>
        <w:jc w:val="both"/>
      </w:pPr>
      <w:r>
        <w:t>In un recente saggio molto impegnato</w:t>
      </w:r>
      <w:bookmarkStart w:id="0" w:name="_GoBack"/>
      <w:bookmarkEnd w:id="0"/>
      <w:r>
        <w:t xml:space="preserve"> e ben costruito, il teologo gesuita italiano propone di ripensare la teologia in un contesto non teista ovvero in una cultura che ha di fatto eliminato ogni forma di trascendenza e di alterità esterna al mondo di esperienza materiale o virtuale, in cui viviamo</w:t>
      </w:r>
      <w:r>
        <w:rPr>
          <w:rStyle w:val="Rimandonotaapidipagina"/>
        </w:rPr>
        <w:footnoteReference w:id="26"/>
      </w:r>
      <w:r>
        <w:t xml:space="preserve">. Non si tratta di riproporre una teologia «senza Dio» o del «Dio è morto». Più che di ateismo si deve parlare di post-teismo. Ciò significa che un discorso su una rivelazione trascendete e soprannaturale, su miracoli che cadono dal cielo interrompendo le leggi della natura e altre forme di discorso religioso non sono più credibili né ascoltabili. Eppure la domanda di spiritualità rimane, anzi si è fatta più urgente e diffusa. La sfida consiste quindi nel riprendere, a partire da questa sensibilità spirituale post-teista o anche senza Dio, alcune intuizioni della tradizione teologica e spirituale cristiana che favoriscano una sorta di «monismo relazionale», ovvero una nuova immagine del divino legata a forme di pan-en-teismo, più che di teismo o panteismo. Cosa ne è dello Spirito e della sua presenza e azione in un simile orizzonte di pensiero teologico? Raccogliamo qualche indicazione dal capitolo IX dal titolo </w:t>
      </w:r>
      <w:r w:rsidRPr="00E23725">
        <w:rPr>
          <w:i/>
        </w:rPr>
        <w:t>Perché pregare</w:t>
      </w:r>
      <w:r>
        <w:t xml:space="preserve">, in cui l’autore propone di passare, sulla scorta dell’acquisizione dei due modi possibili di considerare la </w:t>
      </w:r>
      <w:proofErr w:type="spellStart"/>
      <w:r>
        <w:t>creaturalità</w:t>
      </w:r>
      <w:proofErr w:type="spellEnd"/>
      <w:r>
        <w:t xml:space="preserve"> – </w:t>
      </w:r>
      <w:r w:rsidRPr="00E23725">
        <w:rPr>
          <w:i/>
        </w:rPr>
        <w:t xml:space="preserve">sub specie </w:t>
      </w:r>
      <w:proofErr w:type="spellStart"/>
      <w:r w:rsidRPr="00E23725">
        <w:rPr>
          <w:i/>
        </w:rPr>
        <w:t>hominis</w:t>
      </w:r>
      <w:proofErr w:type="spellEnd"/>
      <w:r w:rsidRPr="00E23725">
        <w:rPr>
          <w:i/>
        </w:rPr>
        <w:t xml:space="preserve"> </w:t>
      </w:r>
      <w:proofErr w:type="spellStart"/>
      <w:r w:rsidRPr="00E23725">
        <w:rPr>
          <w:i/>
        </w:rPr>
        <w:t>vel</w:t>
      </w:r>
      <w:proofErr w:type="spellEnd"/>
      <w:r w:rsidRPr="00E23725">
        <w:rPr>
          <w:i/>
        </w:rPr>
        <w:t xml:space="preserve"> sub specie dei</w:t>
      </w:r>
      <w:r>
        <w:t xml:space="preserve"> –, dalla forma colloquiale della preghiera alla forma contemplativa. Si tratta di un passaggio di maturazione della fede e quindi di un cristianesimo più </w:t>
      </w:r>
      <w:r>
        <w:lastRenderedPageBreak/>
        <w:t xml:space="preserve">adulto. Sullo sfondo c’è l’idea di un Dio senza miracoli e di una realtà </w:t>
      </w:r>
      <w:r w:rsidRPr="000714A0">
        <w:rPr>
          <w:i/>
        </w:rPr>
        <w:t>che realizza se stessa</w:t>
      </w:r>
      <w:r>
        <w:t xml:space="preserve"> nella preghiera, senza interferenze estrinseche. Questo passaggio è fondato sui tre livelli di accesso alla realtà divina nell’esperienza religiosa:</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 xml:space="preserve">Il primo livello è quello impersonale, in cui è presente come forza ed energia dello Spirito che abita in tutte le cose; il secondo livello è personale, quello del Figlio, mediante la parola incarnata e umana di Gesù; infine, il livello </w:t>
      </w:r>
      <w:r w:rsidRPr="00077D08">
        <w:rPr>
          <w:i/>
          <w:sz w:val="22"/>
        </w:rPr>
        <w:t>trans</w:t>
      </w:r>
      <w:r>
        <w:rPr>
          <w:sz w:val="22"/>
        </w:rPr>
        <w:t>-personale, quello del Padre, è il livello in cui ci si immerge sempre più nel silenzio della divinità</w:t>
      </w:r>
      <w:r>
        <w:rPr>
          <w:rStyle w:val="Rimandonotaapidipagina"/>
          <w:sz w:val="22"/>
        </w:rPr>
        <w:footnoteReference w:id="27"/>
      </w:r>
      <w:r>
        <w:rPr>
          <w:sz w:val="22"/>
        </w:rPr>
        <w:t>.</w:t>
      </w:r>
    </w:p>
    <w:p w:rsidR="002F29A7" w:rsidRPr="008D0E1A" w:rsidRDefault="002F29A7" w:rsidP="002F29A7">
      <w:pPr>
        <w:ind w:left="170" w:right="170"/>
        <w:jc w:val="both"/>
        <w:rPr>
          <w:sz w:val="22"/>
        </w:rPr>
      </w:pPr>
    </w:p>
    <w:p w:rsidR="002F29A7" w:rsidRDefault="002F29A7" w:rsidP="002F29A7">
      <w:pPr>
        <w:jc w:val="both"/>
      </w:pPr>
      <w:r>
        <w:t xml:space="preserve">Si noti la strutturazione trinitaria dei livelli e il diverso modo di funzionamento, a cui corrispondono i livelli di esperienza religiosa: 1) Dio come </w:t>
      </w:r>
      <w:r w:rsidRPr="004C1E97">
        <w:rPr>
          <w:i/>
        </w:rPr>
        <w:t>Egli è</w:t>
      </w:r>
      <w:r>
        <w:t xml:space="preserve"> (esperienza cosmico-naturale); 2) Dio come </w:t>
      </w:r>
      <w:r w:rsidRPr="004C1E97">
        <w:rPr>
          <w:i/>
        </w:rPr>
        <w:t>Tu sei</w:t>
      </w:r>
      <w:r>
        <w:t xml:space="preserve"> (esperienza catafatica, dicibile ed affettiva); 3) Dio come </w:t>
      </w:r>
      <w:r w:rsidRPr="004C1E97">
        <w:rPr>
          <w:i/>
        </w:rPr>
        <w:t>Io sono</w:t>
      </w:r>
      <w:r>
        <w:t xml:space="preserve"> (esperienza apofatica, mistica e trasformativi). Nell’assimilazione a Cristo si dovrebbe passare dall’esperienza del </w:t>
      </w:r>
      <w:r w:rsidRPr="00DD7918">
        <w:rPr>
          <w:i/>
        </w:rPr>
        <w:t>Tu sei</w:t>
      </w:r>
      <w:r>
        <w:t xml:space="preserve"> all’</w:t>
      </w:r>
      <w:r w:rsidRPr="00DD7918">
        <w:rPr>
          <w:i/>
        </w:rPr>
        <w:t>Io sono</w:t>
      </w:r>
      <w:r>
        <w:t xml:space="preserve">, come ha vissuto lo stesso Gesù nel passaggio all’essere </w:t>
      </w:r>
      <w:r w:rsidRPr="00DD7918">
        <w:rPr>
          <w:i/>
        </w:rPr>
        <w:t>Uno col Padre</w:t>
      </w:r>
      <w:r>
        <w:t xml:space="preserve">. In questa direzione va la proposta spirituale di un Angelo </w:t>
      </w:r>
      <w:proofErr w:type="spellStart"/>
      <w:r>
        <w:t>Silesio</w:t>
      </w:r>
      <w:proofErr w:type="spellEnd"/>
      <w:r>
        <w:t>: «Uomo in quel che ami sarai trasformato: diventi Dio se l’ami, terra se ami la terra»</w:t>
      </w:r>
      <w:r>
        <w:rPr>
          <w:rStyle w:val="Rimandonotaapidipagina"/>
        </w:rPr>
        <w:footnoteReference w:id="28"/>
      </w:r>
      <w:r>
        <w:t xml:space="preserve">. Allo stesso modo </w:t>
      </w:r>
      <w:proofErr w:type="spellStart"/>
      <w:r>
        <w:t>Maister</w:t>
      </w:r>
      <w:proofErr w:type="spellEnd"/>
      <w:r>
        <w:t xml:space="preserve"> </w:t>
      </w:r>
      <w:proofErr w:type="spellStart"/>
      <w:r>
        <w:t>Eckhart</w:t>
      </w:r>
      <w:proofErr w:type="spellEnd"/>
      <w:r>
        <w:t>:</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Se l’uomo si distoglie da se stesso e da tutte le cose create – tanto tu fai questo, tanto sei unito e felice nella scintilla dell’anima, che non tocca mai né il tempo né lo spazio. Questa scintilla rifiuta tutte le creature e non vuole altro che Dio nella sua nudità, come è in se stesso. Non le bastano né il Padre né il Figlio né lo Spirito Santo e neppure le tre persone insieme, in quanto ciascuna permane nella sua particolarità… Essa vuole penetrare nel semplice fondo, nel silenzioso deserto della natura divina, dove mai ha gettato lo sguardo la distinzione, né Padre né Figlio né Spirito Santo. Nell’interiorità più profonda, dove nessuno è in patria, là trova soddisfazione questa luce, e là essa è in un’interiorità più profonda di quanto sia presso se stessa. Infatti, questo fondo è un semplice silenzio</w:t>
      </w:r>
      <w:r>
        <w:rPr>
          <w:rStyle w:val="Rimandonotaapidipagina"/>
          <w:sz w:val="22"/>
        </w:rPr>
        <w:footnoteReference w:id="29"/>
      </w:r>
      <w:r>
        <w:rPr>
          <w:sz w:val="22"/>
        </w:rPr>
        <w:t>.</w:t>
      </w:r>
    </w:p>
    <w:p w:rsidR="002F29A7" w:rsidRPr="00DD7918" w:rsidRDefault="002F29A7" w:rsidP="002F29A7">
      <w:pPr>
        <w:ind w:left="170" w:right="170"/>
        <w:jc w:val="both"/>
        <w:rPr>
          <w:sz w:val="22"/>
        </w:rPr>
      </w:pPr>
    </w:p>
    <w:p w:rsidR="002F29A7" w:rsidRDefault="002F29A7" w:rsidP="002F29A7">
      <w:pPr>
        <w:jc w:val="both"/>
      </w:pPr>
      <w:r>
        <w:t xml:space="preserve">Da questo tipo di esperienza fluisce la preghiera </w:t>
      </w:r>
      <w:r w:rsidRPr="00077D08">
        <w:rPr>
          <w:i/>
        </w:rPr>
        <w:t>trans</w:t>
      </w:r>
      <w:r>
        <w:t>-personale, passaggio ultimo della perfezione spirituale cristiana. Raccogliamo qualche indicazione su questa preghiera e poi sul ruolo dello Spirito:</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 xml:space="preserve">Attraverso la consapevolezza di essere in Dio e di essere una cosa sola con lo sguardo di Dio, la creatura lascia essere e fluire </w:t>
      </w:r>
      <w:smartTag w:uri="urn:schemas-microsoft-com:office:smarttags" w:element="PersonName">
        <w:smartTagPr>
          <w:attr w:name="ProductID" w:val="La Vita"/>
        </w:smartTagPr>
        <w:r>
          <w:rPr>
            <w:sz w:val="22"/>
          </w:rPr>
          <w:t>la Vita</w:t>
        </w:r>
      </w:smartTag>
      <w:r>
        <w:rPr>
          <w:sz w:val="22"/>
        </w:rPr>
        <w:t xml:space="preserve"> divina in sé e in tutte le creature. Da contatto diretto con questa sorgente profonda scaturisce una modalità di preghiera </w:t>
      </w:r>
      <w:r w:rsidRPr="00491BD0">
        <w:rPr>
          <w:i/>
          <w:sz w:val="22"/>
        </w:rPr>
        <w:t>trans</w:t>
      </w:r>
      <w:r>
        <w:rPr>
          <w:sz w:val="22"/>
        </w:rPr>
        <w:t xml:space="preserve">-personale che trascende ciò che solitamente viene chiamato il colloquio o dialogo con Dio. Alla creatura sono date due prospettive in cui contemplare sé e Dio. Dalla prospettiva del finito, la creatura può pregare Dio e comprendere se stessa </w:t>
      </w:r>
      <w:r w:rsidRPr="00345B3A">
        <w:rPr>
          <w:i/>
          <w:sz w:val="22"/>
        </w:rPr>
        <w:t xml:space="preserve">sub specie </w:t>
      </w:r>
      <w:proofErr w:type="spellStart"/>
      <w:r w:rsidRPr="00345B3A">
        <w:rPr>
          <w:i/>
          <w:sz w:val="22"/>
        </w:rPr>
        <w:t>creaturae</w:t>
      </w:r>
      <w:proofErr w:type="spellEnd"/>
      <w:r>
        <w:rPr>
          <w:sz w:val="22"/>
        </w:rPr>
        <w:t>. Dio è così considerato come l’Altro (</w:t>
      </w:r>
      <w:proofErr w:type="spellStart"/>
      <w:r w:rsidRPr="00345B3A">
        <w:rPr>
          <w:i/>
          <w:sz w:val="22"/>
        </w:rPr>
        <w:t>Aliud</w:t>
      </w:r>
      <w:proofErr w:type="spellEnd"/>
      <w:r>
        <w:rPr>
          <w:sz w:val="22"/>
        </w:rPr>
        <w:t>) da sé e la creatura comprende se stessa come un altro (</w:t>
      </w:r>
      <w:proofErr w:type="spellStart"/>
      <w:r w:rsidRPr="00345B3A">
        <w:rPr>
          <w:i/>
          <w:sz w:val="22"/>
        </w:rPr>
        <w:t>aliud</w:t>
      </w:r>
      <w:proofErr w:type="spellEnd"/>
      <w:r>
        <w:rPr>
          <w:sz w:val="22"/>
        </w:rPr>
        <w:t xml:space="preserve">) da Dio. La creatura è il finito; Dio l’infinito. In tale prospettiva, però, l’Infinito è limitato dal finito che è la creatura; dunque, l’infinito non è veramente infinito ma finito. La creatura però può comprendersi e pregare Dio anche a partire </w:t>
      </w:r>
      <w:r w:rsidRPr="00345B3A">
        <w:rPr>
          <w:i/>
          <w:sz w:val="22"/>
        </w:rPr>
        <w:t>sub specie dei</w:t>
      </w:r>
      <w:r>
        <w:rPr>
          <w:sz w:val="22"/>
        </w:rPr>
        <w:t xml:space="preserve">, cioè dalla stessa prospettiva con cui l’infinito vede sé come infinito e tutte le creature nella sua essenza. In Dio, infatti, non c’è niente fuori dalla propria essenza… l’essenza di Dio è pure specchio e modello di tutte le cose. Da questo punto di vista la creatura si vede della stessa essenza divina come </w:t>
      </w:r>
      <w:r w:rsidRPr="00EE64A2">
        <w:rPr>
          <w:i/>
          <w:sz w:val="22"/>
        </w:rPr>
        <w:t>non-</w:t>
      </w:r>
      <w:proofErr w:type="spellStart"/>
      <w:r w:rsidRPr="00EE64A2">
        <w:rPr>
          <w:i/>
          <w:sz w:val="22"/>
        </w:rPr>
        <w:t>aliud</w:t>
      </w:r>
      <w:proofErr w:type="spellEnd"/>
      <w:r>
        <w:rPr>
          <w:sz w:val="22"/>
        </w:rPr>
        <w:t>, poiché si contempla nel Verbo di Dio che è immagine non solo di Dio ma anche di tutte le cose di cui l’essenza divina è modello. Ogni creatura partecipa dell’essenza divina ed è de-</w:t>
      </w:r>
      <w:r w:rsidRPr="00EE64A2">
        <w:rPr>
          <w:i/>
          <w:sz w:val="22"/>
        </w:rPr>
        <w:t>finizione</w:t>
      </w:r>
      <w:r>
        <w:rPr>
          <w:sz w:val="22"/>
        </w:rPr>
        <w:t xml:space="preserve"> dell’infinito. In quanto </w:t>
      </w:r>
      <w:r w:rsidRPr="005B3C3A">
        <w:rPr>
          <w:i/>
          <w:sz w:val="22"/>
        </w:rPr>
        <w:t>dell’infinito</w:t>
      </w:r>
      <w:r>
        <w:rPr>
          <w:sz w:val="22"/>
        </w:rPr>
        <w:t xml:space="preserve"> (genitivo soggettivo) è di essenza divina e quindi è Dio… Nella contemplazione ci uniformiamo alla visione di Dio (genitivo soggettivo) e diventiamo co-visionari di Dio. In tale prospettiva, l’Infinito non è più considerato come Qualcuno di esterno e al di fuori di noi, ma la realtà più profonda di chi e in cui siamo. […]</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 xml:space="preserve">Nella contemplazione non duale il nostro sguardo di Dio (genitivo oggettivo) diventa sempre più un tutt’uno con lo sguardo stesso di Dio verso l’anima. Divenendo tutt’uno con lo sguardo di Dio (genitivo soggettivo), la fede si trasforma in visione, e questa in amore. La prospettiva esterna del teismo e quella </w:t>
      </w:r>
      <w:r>
        <w:rPr>
          <w:sz w:val="22"/>
        </w:rPr>
        <w:lastRenderedPageBreak/>
        <w:t>interna del post-teismo non si oppongono, ma sono due prospettive diverse della medesima e unica realtà. […]</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Il punto in cui avviene l’uniformità o identificazione dello sguardo di Dio (soggettivo e oggettivo) è lo spirito. «</w:t>
      </w:r>
      <w:r w:rsidRPr="00D56184">
        <w:rPr>
          <w:sz w:val="22"/>
        </w:rPr>
        <w:t>È</w:t>
      </w:r>
      <w:r>
        <w:rPr>
          <w:sz w:val="22"/>
        </w:rPr>
        <w:t xml:space="preserve"> giunto il momento in cui né su questo monte né in Gerusalemme adorerete il Padre… è giunto il momento, ed è questo</w:t>
      </w:r>
      <w:r w:rsidRPr="008878E4">
        <w:rPr>
          <w:sz w:val="22"/>
        </w:rPr>
        <w:t>,</w:t>
      </w:r>
      <w:r>
        <w:rPr>
          <w:sz w:val="22"/>
        </w:rPr>
        <w:t xml:space="preserve"> in cui i veri adoratori adoreranno il Padre in spirito e verità» (</w:t>
      </w:r>
      <w:proofErr w:type="spellStart"/>
      <w:r>
        <w:rPr>
          <w:sz w:val="22"/>
        </w:rPr>
        <w:t>Gv</w:t>
      </w:r>
      <w:proofErr w:type="spellEnd"/>
      <w:r>
        <w:rPr>
          <w:sz w:val="22"/>
        </w:rPr>
        <w:t xml:space="preserve"> 4,21-23). Nel profondo dello spirito la preghiera colloquiale con Dio si trasforma nella visione di Dio. Da preghiera al Dio </w:t>
      </w:r>
      <w:r w:rsidRPr="00077D08">
        <w:rPr>
          <w:i/>
          <w:sz w:val="22"/>
        </w:rPr>
        <w:t>persona</w:t>
      </w:r>
      <w:r>
        <w:rPr>
          <w:sz w:val="22"/>
        </w:rPr>
        <w:t xml:space="preserve"> e </w:t>
      </w:r>
      <w:r w:rsidRPr="00077D08">
        <w:rPr>
          <w:i/>
          <w:sz w:val="22"/>
        </w:rPr>
        <w:t>tri-personale</w:t>
      </w:r>
      <w:r>
        <w:rPr>
          <w:sz w:val="22"/>
        </w:rPr>
        <w:t xml:space="preserve"> la preghiera si trasforma nella visione </w:t>
      </w:r>
      <w:r w:rsidRPr="00077D08">
        <w:rPr>
          <w:i/>
          <w:sz w:val="22"/>
        </w:rPr>
        <w:t>trans-personale</w:t>
      </w:r>
      <w:r>
        <w:rPr>
          <w:sz w:val="22"/>
        </w:rPr>
        <w:t xml:space="preserve"> di Dio. «Il Padre genera incessantemente il Figlio, e io dico ancora: egli mi genera come suo Figlio e lo stesso Figlio. Dico di più: mi genera non solo in quanto suo Figlio, ma in quanto lui stesso, e lui in quanto me, e me in quanto suo essere e sua natura. In questa più interna fonte io scaturisco nello Spirito Santo»</w:t>
      </w:r>
      <w:r>
        <w:rPr>
          <w:rStyle w:val="Rimandonotaapidipagina"/>
          <w:sz w:val="22"/>
        </w:rPr>
        <w:footnoteReference w:id="30"/>
      </w:r>
      <w:r>
        <w:rPr>
          <w:sz w:val="22"/>
        </w:rPr>
        <w:t>. Il mio sguardo e lo sguardo di Dio diventano uno nello spirito, nella divinità. «Lo Spirito stesso attesta al nostro spirito che siamo figli di Dio» (</w:t>
      </w:r>
      <w:proofErr w:type="spellStart"/>
      <w:r>
        <w:rPr>
          <w:sz w:val="22"/>
        </w:rPr>
        <w:t>Rm</w:t>
      </w:r>
      <w:proofErr w:type="spellEnd"/>
      <w:r>
        <w:rPr>
          <w:sz w:val="22"/>
        </w:rPr>
        <w:t xml:space="preserve"> 8,16). In greco si tratta della testimonianza (</w:t>
      </w:r>
      <w:proofErr w:type="spellStart"/>
      <w:r>
        <w:rPr>
          <w:i/>
          <w:sz w:val="22"/>
        </w:rPr>
        <w:t>sun-martyrei</w:t>
      </w:r>
      <w:proofErr w:type="spellEnd"/>
      <w:r>
        <w:rPr>
          <w:sz w:val="22"/>
        </w:rPr>
        <w:t>) che lo Spirito dà al nostro spirito che siamo relativi cioè figli di Dio. Siamo immagine di Dio. Siamo il riflesso di Dio nello specchio che noi siamo</w:t>
      </w:r>
      <w:r>
        <w:rPr>
          <w:rStyle w:val="Rimandonotaapidipagina"/>
          <w:sz w:val="22"/>
        </w:rPr>
        <w:footnoteReference w:id="31"/>
      </w:r>
      <w:r>
        <w:rPr>
          <w:sz w:val="22"/>
        </w:rPr>
        <w:t xml:space="preserve">. </w:t>
      </w:r>
    </w:p>
    <w:p w:rsidR="002F29A7" w:rsidRPr="00491BD0" w:rsidRDefault="002F29A7" w:rsidP="002F29A7">
      <w:pPr>
        <w:ind w:left="170" w:right="170"/>
        <w:jc w:val="both"/>
        <w:rPr>
          <w:sz w:val="22"/>
        </w:rPr>
      </w:pPr>
    </w:p>
    <w:p w:rsidR="002F29A7" w:rsidRDefault="002F29A7" w:rsidP="002F29A7">
      <w:pPr>
        <w:jc w:val="both"/>
      </w:pPr>
      <w:r>
        <w:t xml:space="preserve">In concreto si tratta di una sorta di conversione, di </w:t>
      </w:r>
      <w:r w:rsidRPr="00EB6B46">
        <w:rPr>
          <w:i/>
        </w:rPr>
        <w:t>metanoia</w:t>
      </w:r>
      <w:r>
        <w:t>, che supera il pensiero e l’inganno della mente. Questa, infatti, tende a fare dell’immagine che ci facciamo della realtà, la realtà stessa, cadendo, nel caso di Dio, in un processo idolatra:</w:t>
      </w:r>
    </w:p>
    <w:p w:rsidR="002F29A7" w:rsidRDefault="002F29A7" w:rsidP="002F29A7">
      <w:pPr>
        <w:ind w:left="170" w:right="170"/>
        <w:jc w:val="both"/>
        <w:rPr>
          <w:sz w:val="22"/>
        </w:rPr>
      </w:pPr>
    </w:p>
    <w:p w:rsidR="002F29A7" w:rsidRDefault="002F29A7" w:rsidP="002F29A7">
      <w:pPr>
        <w:ind w:left="170" w:right="170"/>
        <w:jc w:val="both"/>
        <w:rPr>
          <w:sz w:val="22"/>
        </w:rPr>
      </w:pPr>
      <w:r>
        <w:rPr>
          <w:sz w:val="22"/>
        </w:rPr>
        <w:t>Quando la nostra mente (</w:t>
      </w:r>
      <w:proofErr w:type="spellStart"/>
      <w:r w:rsidRPr="00EB6B46">
        <w:rPr>
          <w:i/>
          <w:sz w:val="22"/>
        </w:rPr>
        <w:t>nous</w:t>
      </w:r>
      <w:proofErr w:type="spellEnd"/>
      <w:r>
        <w:rPr>
          <w:sz w:val="22"/>
        </w:rPr>
        <w:t xml:space="preserve">) oltrepassa il pensare – </w:t>
      </w:r>
      <w:proofErr w:type="spellStart"/>
      <w:r w:rsidRPr="00EB6B46">
        <w:rPr>
          <w:i/>
          <w:sz w:val="22"/>
        </w:rPr>
        <w:t>mentanoia</w:t>
      </w:r>
      <w:proofErr w:type="spellEnd"/>
      <w:r>
        <w:rPr>
          <w:sz w:val="22"/>
        </w:rPr>
        <w:t xml:space="preserve">, cambiare il proprio pensiero – e viene assunta dal logos di Dio, si decentra e diventa una cosa sola con la mente e la visione di Dio. «Chi mai ha conosciuto il pensiero del Signore in modo da poterlo consigliare? Ora, noi abbiamo il pensiero di Cristo» (1Cor 2,16). </w:t>
      </w:r>
      <w:r w:rsidRPr="004450E2">
        <w:rPr>
          <w:i/>
          <w:sz w:val="22"/>
        </w:rPr>
        <w:t>Metanoia</w:t>
      </w:r>
      <w:r>
        <w:rPr>
          <w:sz w:val="22"/>
        </w:rPr>
        <w:t xml:space="preserve"> è una trasformazione (</w:t>
      </w:r>
      <w:r w:rsidRPr="004450E2">
        <w:rPr>
          <w:i/>
          <w:sz w:val="22"/>
        </w:rPr>
        <w:t>metamorfosi</w:t>
      </w:r>
      <w:r>
        <w:rPr>
          <w:sz w:val="22"/>
        </w:rPr>
        <w:t>) della mente: vedere il mondo nello stesso modo con cui Dio si vede e lo contempla. Avere la mente di Cristo significa divenire consapevoli della consapevolezza di Dio: «Quelle cose che occhio non vide, né orecchio udì, né mai entrarono in cuore di uomo, queste ha preparato Dio per coloro che lo amano. Ma a noi Dio le ha rivelate per mezzo dello Spirito; lo Spirito infatti scruta ogni cosa, anche le profondità di Dio. Chi conosce i segreti dell’uomo, se non lo spirito dell’uomo che è in lui? Così anche i segreti di Dio nessuno li ha mai potuti conoscere se non lo Spirito di Dio» (1Cor 2,9-11)</w:t>
      </w:r>
      <w:r>
        <w:rPr>
          <w:rStyle w:val="Rimandonotaapidipagina"/>
          <w:sz w:val="22"/>
        </w:rPr>
        <w:footnoteReference w:id="32"/>
      </w:r>
      <w:r>
        <w:rPr>
          <w:sz w:val="22"/>
        </w:rPr>
        <w:t>.</w:t>
      </w:r>
    </w:p>
    <w:p w:rsidR="002F29A7" w:rsidRPr="00EB6B46" w:rsidRDefault="002F29A7" w:rsidP="002F29A7">
      <w:pPr>
        <w:ind w:left="170" w:right="170"/>
        <w:jc w:val="both"/>
        <w:rPr>
          <w:sz w:val="22"/>
        </w:rPr>
      </w:pPr>
    </w:p>
    <w:p w:rsidR="002F29A7" w:rsidRDefault="002F29A7" w:rsidP="002F29A7">
      <w:pPr>
        <w:jc w:val="both"/>
      </w:pPr>
      <w:r>
        <w:t xml:space="preserve">Questa conoscenza si ottiene entrando nella «nube della non conoscenza», quella che ha steso la sua ombra su Maria (Lc 1,34-35) chiedendole di abbandonare le sue certezze per entrare nello spazio infinito dell’onnipotenza di Dio. Così noi siamo chiamati a lasciare le nostre zone confortevoli e </w:t>
      </w:r>
      <w:proofErr w:type="spellStart"/>
      <w:r>
        <w:t>securizzanti</w:t>
      </w:r>
      <w:proofErr w:type="spellEnd"/>
      <w:r>
        <w:t>, per abbandonarci allo spazio infinito di Dio. In questo modo Dio trasforma il nostro spirito nello Spirito di Dio: «Sono così posta e sommersa nella fonte del suo immenso amore, come se fossi nel mare tutta sott’acqua e in nessuna parte potessi toccare, vedere né sentire, se non solo acqua» (Caterina da Genova)</w:t>
      </w:r>
      <w:r>
        <w:rPr>
          <w:rStyle w:val="Rimandonotaapidipagina"/>
        </w:rPr>
        <w:footnoteReference w:id="33"/>
      </w:r>
      <w:r>
        <w:t>.</w:t>
      </w:r>
    </w:p>
    <w:p w:rsidR="002F29A7" w:rsidRDefault="002F29A7" w:rsidP="002F29A7">
      <w:pPr>
        <w:jc w:val="both"/>
      </w:pPr>
    </w:p>
    <w:p w:rsidR="002F29A7" w:rsidRPr="002F29A7" w:rsidRDefault="002F29A7" w:rsidP="002F29A7">
      <w:pPr>
        <w:jc w:val="both"/>
      </w:pPr>
    </w:p>
    <w:sectPr w:rsidR="002F29A7" w:rsidRPr="002F29A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9341A" w:rsidRDefault="0019341A" w:rsidP="002F29A7">
      <w:r>
        <w:separator/>
      </w:r>
    </w:p>
  </w:endnote>
  <w:endnote w:type="continuationSeparator" w:id="0">
    <w:p w:rsidR="0019341A" w:rsidRDefault="0019341A" w:rsidP="002F29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9341A" w:rsidRDefault="0019341A" w:rsidP="002F29A7">
      <w:r>
        <w:separator/>
      </w:r>
    </w:p>
  </w:footnote>
  <w:footnote w:type="continuationSeparator" w:id="0">
    <w:p w:rsidR="0019341A" w:rsidRDefault="0019341A" w:rsidP="002F29A7">
      <w:r>
        <w:continuationSeparator/>
      </w:r>
    </w:p>
  </w:footnote>
  <w:footnote w:id="1">
    <w:p w:rsidR="002F29A7" w:rsidRDefault="002F29A7" w:rsidP="002F29A7">
      <w:pPr>
        <w:pStyle w:val="Testonotaapidipagina"/>
        <w:jc w:val="both"/>
      </w:pPr>
      <w:r>
        <w:rPr>
          <w:rStyle w:val="Rimandonotaapidipagina"/>
        </w:rPr>
        <w:footnoteRef/>
      </w:r>
      <w:r>
        <w:t xml:space="preserve"> </w:t>
      </w:r>
      <w:r w:rsidRPr="00F61FB2">
        <w:rPr>
          <w:smallCaps/>
        </w:rPr>
        <w:t xml:space="preserve">A. </w:t>
      </w:r>
      <w:proofErr w:type="spellStart"/>
      <w:r w:rsidRPr="00F61FB2">
        <w:rPr>
          <w:smallCaps/>
        </w:rPr>
        <w:t>Bertuletti</w:t>
      </w:r>
      <w:proofErr w:type="spellEnd"/>
      <w:r>
        <w:t xml:space="preserve">, </w:t>
      </w:r>
      <w:r w:rsidRPr="00F61FB2">
        <w:rPr>
          <w:i/>
        </w:rPr>
        <w:t>Fede e religione: la singolarità cristiana e l’esperienza religiosa universale</w:t>
      </w:r>
      <w:r>
        <w:t xml:space="preserve">, in </w:t>
      </w:r>
      <w:r w:rsidRPr="00F61FB2">
        <w:rPr>
          <w:smallCaps/>
        </w:rPr>
        <w:t>G. Angelini</w:t>
      </w:r>
      <w:r>
        <w:t xml:space="preserve"> (ed), </w:t>
      </w:r>
      <w:r w:rsidRPr="0041780B">
        <w:rPr>
          <w:i/>
        </w:rPr>
        <w:t>Cristianesimo e religione</w:t>
      </w:r>
      <w:r>
        <w:t xml:space="preserve">, Milano, Glossa, 1992, 201-233. </w:t>
      </w:r>
    </w:p>
  </w:footnote>
  <w:footnote w:id="2">
    <w:p w:rsidR="002F29A7" w:rsidRDefault="002F29A7" w:rsidP="002F29A7">
      <w:pPr>
        <w:pStyle w:val="Testonotaapidipagina"/>
        <w:jc w:val="both"/>
      </w:pPr>
      <w:r>
        <w:rPr>
          <w:rStyle w:val="Rimandonotaapidipagina"/>
        </w:rPr>
        <w:footnoteRef/>
      </w:r>
      <w:r>
        <w:t xml:space="preserve"> </w:t>
      </w:r>
      <w:r w:rsidRPr="00247B2F">
        <w:rPr>
          <w:smallCaps/>
        </w:rPr>
        <w:t>A. Grillo</w:t>
      </w:r>
      <w:r>
        <w:t xml:space="preserve">, </w:t>
      </w:r>
      <w:r w:rsidRPr="00247B2F">
        <w:rPr>
          <w:i/>
        </w:rPr>
        <w:t>Il tramonto dell’antitesi moderna tra cristianesimo e religione</w:t>
      </w:r>
      <w:r>
        <w:t>, in «Rassegna di Teologia» 38 (1997) 108-112. Le successive citazioni del testo rimandano tutte a questo contributo.</w:t>
      </w:r>
    </w:p>
  </w:footnote>
  <w:footnote w:id="3">
    <w:p w:rsidR="002F29A7" w:rsidRDefault="002F29A7" w:rsidP="002F29A7">
      <w:pPr>
        <w:pStyle w:val="Testonotaapidipagina"/>
        <w:jc w:val="both"/>
      </w:pPr>
      <w:r>
        <w:rPr>
          <w:rStyle w:val="Rimandonotaapidipagina"/>
        </w:rPr>
        <w:footnoteRef/>
      </w:r>
      <w:r>
        <w:t xml:space="preserve"> </w:t>
      </w:r>
      <w:r w:rsidRPr="00147F5B">
        <w:rPr>
          <w:i/>
        </w:rPr>
        <w:t>Ivi</w:t>
      </w:r>
      <w:r>
        <w:t>, p. 108.</w:t>
      </w:r>
    </w:p>
  </w:footnote>
  <w:footnote w:id="4">
    <w:p w:rsidR="002F29A7" w:rsidRDefault="002F29A7" w:rsidP="002F29A7">
      <w:pPr>
        <w:pStyle w:val="Testonotaapidipagina"/>
        <w:jc w:val="both"/>
      </w:pPr>
      <w:r>
        <w:rPr>
          <w:rStyle w:val="Rimandonotaapidipagina"/>
        </w:rPr>
        <w:footnoteRef/>
      </w:r>
      <w:r>
        <w:t xml:space="preserve"> </w:t>
      </w:r>
      <w:r w:rsidRPr="00127275">
        <w:rPr>
          <w:i/>
        </w:rPr>
        <w:t>Ivi</w:t>
      </w:r>
      <w:r>
        <w:t>, p. 109.</w:t>
      </w:r>
    </w:p>
  </w:footnote>
  <w:footnote w:id="5">
    <w:p w:rsidR="002F29A7" w:rsidRDefault="002F29A7" w:rsidP="002F29A7">
      <w:pPr>
        <w:pStyle w:val="Testonotaapidipagina"/>
        <w:jc w:val="both"/>
      </w:pPr>
      <w:r>
        <w:rPr>
          <w:rStyle w:val="Rimandonotaapidipagina"/>
        </w:rPr>
        <w:footnoteRef/>
      </w:r>
      <w:r>
        <w:t xml:space="preserve"> </w:t>
      </w:r>
      <w:r w:rsidRPr="00277F8E">
        <w:rPr>
          <w:i/>
        </w:rPr>
        <w:t>Ivi</w:t>
      </w:r>
      <w:r>
        <w:t>, p. 109.</w:t>
      </w:r>
    </w:p>
  </w:footnote>
  <w:footnote w:id="6">
    <w:p w:rsidR="002F29A7" w:rsidRDefault="002F29A7" w:rsidP="002F29A7">
      <w:pPr>
        <w:pStyle w:val="Testonotaapidipagina"/>
        <w:jc w:val="both"/>
      </w:pPr>
      <w:r>
        <w:rPr>
          <w:rStyle w:val="Rimandonotaapidipagina"/>
        </w:rPr>
        <w:footnoteRef/>
      </w:r>
      <w:r>
        <w:t xml:space="preserve"> </w:t>
      </w:r>
      <w:r w:rsidRPr="00DE39DE">
        <w:rPr>
          <w:smallCaps/>
        </w:rPr>
        <w:t>M. Antonelli</w:t>
      </w:r>
      <w:r>
        <w:t xml:space="preserve">, </w:t>
      </w:r>
      <w:r w:rsidRPr="00B231FD">
        <w:rPr>
          <w:i/>
        </w:rPr>
        <w:t>L’autocoscienza del cristianesimo tra fede e religione</w:t>
      </w:r>
      <w:r>
        <w:t xml:space="preserve">, in </w:t>
      </w:r>
      <w:r w:rsidRPr="00B231FD">
        <w:rPr>
          <w:smallCaps/>
        </w:rPr>
        <w:t>M. Aliotta</w:t>
      </w:r>
      <w:r>
        <w:t xml:space="preserve"> (ed), </w:t>
      </w:r>
      <w:r w:rsidRPr="00B231FD">
        <w:rPr>
          <w:i/>
        </w:rPr>
        <w:t>Cristianesimo, religione, religioni. Unità e pluralismo dell’esperienza di Dio alle soglie del terzo millennio</w:t>
      </w:r>
      <w:r>
        <w:t>, Cinisello B. , San Paolo, 1999, 93-124.</w:t>
      </w:r>
    </w:p>
  </w:footnote>
  <w:footnote w:id="7">
    <w:p w:rsidR="002F29A7" w:rsidRDefault="002F29A7" w:rsidP="002F29A7">
      <w:pPr>
        <w:pStyle w:val="Testonotaapidipagina"/>
        <w:jc w:val="both"/>
      </w:pPr>
      <w:r>
        <w:rPr>
          <w:rStyle w:val="Rimandonotaapidipagina"/>
        </w:rPr>
        <w:footnoteRef/>
      </w:r>
      <w:r>
        <w:t xml:space="preserve"> </w:t>
      </w:r>
      <w:r w:rsidRPr="00E72BC1">
        <w:rPr>
          <w:i/>
        </w:rPr>
        <w:t>Ivi</w:t>
      </w:r>
      <w:r>
        <w:t>, pp. 98-99.</w:t>
      </w:r>
    </w:p>
  </w:footnote>
  <w:footnote w:id="8">
    <w:p w:rsidR="002F29A7" w:rsidRDefault="002F29A7" w:rsidP="002F29A7">
      <w:pPr>
        <w:pStyle w:val="Testonotaapidipagina"/>
        <w:jc w:val="both"/>
      </w:pPr>
      <w:r>
        <w:rPr>
          <w:rStyle w:val="Rimandonotaapidipagina"/>
        </w:rPr>
        <w:footnoteRef/>
      </w:r>
      <w:r>
        <w:t xml:space="preserve"> </w:t>
      </w:r>
      <w:r w:rsidRPr="00206759">
        <w:rPr>
          <w:i/>
        </w:rPr>
        <w:t>Ivi</w:t>
      </w:r>
      <w:r>
        <w:t>, pp. 109-110.</w:t>
      </w:r>
    </w:p>
  </w:footnote>
  <w:footnote w:id="9">
    <w:p w:rsidR="002F29A7" w:rsidRDefault="002F29A7" w:rsidP="002F29A7">
      <w:pPr>
        <w:pStyle w:val="Testonotaapidipagina"/>
        <w:jc w:val="both"/>
      </w:pPr>
      <w:r>
        <w:rPr>
          <w:rStyle w:val="Rimandonotaapidipagina"/>
        </w:rPr>
        <w:footnoteRef/>
      </w:r>
      <w:r>
        <w:t xml:space="preserve"> Si veda di nuovo il saggio di </w:t>
      </w:r>
      <w:r w:rsidRPr="00F61FB2">
        <w:rPr>
          <w:smallCaps/>
        </w:rPr>
        <w:t xml:space="preserve">A. </w:t>
      </w:r>
      <w:proofErr w:type="spellStart"/>
      <w:r w:rsidRPr="00F61FB2">
        <w:rPr>
          <w:smallCaps/>
        </w:rPr>
        <w:t>Bertuletti</w:t>
      </w:r>
      <w:proofErr w:type="spellEnd"/>
      <w:r>
        <w:t xml:space="preserve">, </w:t>
      </w:r>
      <w:r w:rsidRPr="00F61FB2">
        <w:rPr>
          <w:i/>
        </w:rPr>
        <w:t>Fede e religione: la singolarità cristiana e l’esperienza religiosa universale</w:t>
      </w:r>
      <w:r>
        <w:t xml:space="preserve">, in </w:t>
      </w:r>
      <w:r w:rsidRPr="00F61FB2">
        <w:rPr>
          <w:smallCaps/>
        </w:rPr>
        <w:t>G. Angelini</w:t>
      </w:r>
      <w:r>
        <w:t xml:space="preserve"> (ed), </w:t>
      </w:r>
      <w:r w:rsidRPr="0041780B">
        <w:rPr>
          <w:i/>
        </w:rPr>
        <w:t>Cristianesimo e religione</w:t>
      </w:r>
      <w:r>
        <w:t>, Milano, Glossa, 1992, 201-233.</w:t>
      </w:r>
    </w:p>
  </w:footnote>
  <w:footnote w:id="10">
    <w:p w:rsidR="002F29A7" w:rsidRDefault="002F29A7" w:rsidP="002F29A7">
      <w:pPr>
        <w:pStyle w:val="Testonotaapidipagina"/>
        <w:jc w:val="both"/>
      </w:pPr>
      <w:r>
        <w:rPr>
          <w:rStyle w:val="Rimandonotaapidipagina"/>
        </w:rPr>
        <w:footnoteRef/>
      </w:r>
      <w:r>
        <w:t xml:space="preserve"> </w:t>
      </w:r>
      <w:r w:rsidRPr="00A005D2">
        <w:rPr>
          <w:i/>
        </w:rPr>
        <w:t>Ivi</w:t>
      </w:r>
      <w:r>
        <w:t>, p. 204.</w:t>
      </w:r>
    </w:p>
  </w:footnote>
  <w:footnote w:id="11">
    <w:p w:rsidR="002F29A7" w:rsidRDefault="002F29A7" w:rsidP="002F29A7">
      <w:pPr>
        <w:pStyle w:val="Testonotaapidipagina"/>
        <w:jc w:val="both"/>
      </w:pPr>
      <w:r>
        <w:rPr>
          <w:rStyle w:val="Rimandonotaapidipagina"/>
        </w:rPr>
        <w:footnoteRef/>
      </w:r>
      <w:r>
        <w:t xml:space="preserve"> </w:t>
      </w:r>
      <w:r w:rsidRPr="00FA6FA4">
        <w:rPr>
          <w:smallCaps/>
        </w:rPr>
        <w:t>G. Angelini</w:t>
      </w:r>
      <w:r>
        <w:t xml:space="preserve">, </w:t>
      </w:r>
      <w:r w:rsidRPr="0041780B">
        <w:rPr>
          <w:i/>
        </w:rPr>
        <w:t>Diversità «in materia di fede e di costumi»: le strutture della coscienza «religiosa» contemporanea e le scelta della «fede»</w:t>
      </w:r>
      <w:r>
        <w:t xml:space="preserve">, in </w:t>
      </w:r>
      <w:r w:rsidRPr="0041780B">
        <w:rPr>
          <w:i/>
        </w:rPr>
        <w:t>Cristianesimo e religione</w:t>
      </w:r>
      <w:r>
        <w:t>, p. 41.</w:t>
      </w:r>
    </w:p>
  </w:footnote>
  <w:footnote w:id="12">
    <w:p w:rsidR="002F29A7" w:rsidRDefault="002F29A7" w:rsidP="002F29A7">
      <w:pPr>
        <w:pStyle w:val="Testonotaapidipagina"/>
        <w:jc w:val="both"/>
      </w:pPr>
      <w:r>
        <w:rPr>
          <w:rStyle w:val="Rimandonotaapidipagina"/>
        </w:rPr>
        <w:footnoteRef/>
      </w:r>
      <w:r>
        <w:t xml:space="preserve"> Raccogliamo queste istanze dalla raccolta di saggi </w:t>
      </w:r>
      <w:r w:rsidRPr="00205A98">
        <w:rPr>
          <w:smallCaps/>
        </w:rPr>
        <w:t>J. Ratzinger</w:t>
      </w:r>
      <w:r>
        <w:t xml:space="preserve">, </w:t>
      </w:r>
      <w:r w:rsidRPr="00205A98">
        <w:rPr>
          <w:i/>
        </w:rPr>
        <w:t>Fede, verità, tolleranza. Il cristianesimo e le religioni del mondo</w:t>
      </w:r>
      <w:r>
        <w:t xml:space="preserve">, Siena, Edizioni </w:t>
      </w:r>
      <w:proofErr w:type="spellStart"/>
      <w:r>
        <w:t>Cantagalli</w:t>
      </w:r>
      <w:proofErr w:type="spellEnd"/>
      <w:r>
        <w:t>, 2003.</w:t>
      </w:r>
    </w:p>
  </w:footnote>
  <w:footnote w:id="13">
    <w:p w:rsidR="002F29A7" w:rsidRDefault="002F29A7" w:rsidP="002F29A7">
      <w:pPr>
        <w:pStyle w:val="Testonotaapidipagina"/>
        <w:jc w:val="both"/>
      </w:pPr>
      <w:r>
        <w:rPr>
          <w:rStyle w:val="Rimandonotaapidipagina"/>
        </w:rPr>
        <w:footnoteRef/>
      </w:r>
      <w:r>
        <w:t xml:space="preserve"> </w:t>
      </w:r>
      <w:r w:rsidRPr="00A01336">
        <w:rPr>
          <w:i/>
        </w:rPr>
        <w:t>Ivi</w:t>
      </w:r>
      <w:r>
        <w:t xml:space="preserve">, pp. 173-179. Queste interessanti notazioni vanno però dialettizzate con le riflessioni di </w:t>
      </w:r>
      <w:r w:rsidRPr="00034CD0">
        <w:rPr>
          <w:smallCaps/>
        </w:rPr>
        <w:t xml:space="preserve">I.U. </w:t>
      </w:r>
      <w:proofErr w:type="spellStart"/>
      <w:r w:rsidRPr="00034CD0">
        <w:rPr>
          <w:smallCaps/>
        </w:rPr>
        <w:t>Dalferth</w:t>
      </w:r>
      <w:proofErr w:type="spellEnd"/>
      <w:r>
        <w:t xml:space="preserve">, </w:t>
      </w:r>
      <w:proofErr w:type="spellStart"/>
      <w:r w:rsidRPr="00034CD0">
        <w:rPr>
          <w:i/>
        </w:rPr>
        <w:t>Jenseits</w:t>
      </w:r>
      <w:proofErr w:type="spellEnd"/>
      <w:r w:rsidRPr="00034CD0">
        <w:rPr>
          <w:i/>
        </w:rPr>
        <w:t xml:space="preserve"> von </w:t>
      </w:r>
      <w:proofErr w:type="spellStart"/>
      <w:r w:rsidRPr="00034CD0">
        <w:rPr>
          <w:i/>
        </w:rPr>
        <w:t>Mythos</w:t>
      </w:r>
      <w:proofErr w:type="spellEnd"/>
      <w:r w:rsidRPr="00034CD0">
        <w:rPr>
          <w:i/>
        </w:rPr>
        <w:t xml:space="preserve"> und Logos. </w:t>
      </w:r>
      <w:r w:rsidRPr="00407C81">
        <w:rPr>
          <w:i/>
          <w:lang w:val="en-GB"/>
        </w:rPr>
        <w:t xml:space="preserve">Die </w:t>
      </w:r>
      <w:proofErr w:type="spellStart"/>
      <w:r w:rsidRPr="00407C81">
        <w:rPr>
          <w:i/>
          <w:lang w:val="en-GB"/>
        </w:rPr>
        <w:t>christologische</w:t>
      </w:r>
      <w:proofErr w:type="spellEnd"/>
      <w:r w:rsidRPr="00407C81">
        <w:rPr>
          <w:i/>
          <w:lang w:val="en-GB"/>
        </w:rPr>
        <w:t xml:space="preserve"> Transformation der </w:t>
      </w:r>
      <w:proofErr w:type="spellStart"/>
      <w:r w:rsidRPr="00407C81">
        <w:rPr>
          <w:i/>
          <w:lang w:val="en-GB"/>
        </w:rPr>
        <w:t>Teologie</w:t>
      </w:r>
      <w:proofErr w:type="spellEnd"/>
      <w:r>
        <w:rPr>
          <w:lang w:val="en-GB"/>
        </w:rPr>
        <w:t xml:space="preserve"> (= QD 142), Freiburg-Wien-</w:t>
      </w:r>
      <w:r w:rsidRPr="00407C81">
        <w:rPr>
          <w:lang w:val="en-GB"/>
        </w:rPr>
        <w:t xml:space="preserve">Bern, Herder, 1993. </w:t>
      </w:r>
      <w:proofErr w:type="spellStart"/>
      <w:r w:rsidRPr="00752966">
        <w:rPr>
          <w:i/>
        </w:rPr>
        <w:t>Dalferth</w:t>
      </w:r>
      <w:proofErr w:type="spellEnd"/>
      <w:r w:rsidRPr="00407C81">
        <w:t xml:space="preserve"> sottolinea </w:t>
      </w:r>
      <w:r>
        <w:t xml:space="preserve">bene </w:t>
      </w:r>
      <w:r w:rsidRPr="00407C81">
        <w:t>come la</w:t>
      </w:r>
      <w:r>
        <w:t xml:space="preserve"> teologia stia in una costante oscillazione tra mito e logos: se si appoggia troppo al logos contro il mito viene accusata di razionalismo, mentre se si appoggia alla religione contro il logos viene accusata di oscurantismo religioso (è il polo di oscillazione attuale, generato dalla crisi della razionalità occidentale). Il testo studia questa costante oscillazione nella storia della teologia europea, per mettere in luce come la teologia debba dimorare in questa tensione perché la </w:t>
      </w:r>
      <w:r w:rsidRPr="00752966">
        <w:rPr>
          <w:i/>
        </w:rPr>
        <w:t>sua forma fondamentale</w:t>
      </w:r>
      <w:r>
        <w:t xml:space="preserve"> non è né mitica né logica, bensì </w:t>
      </w:r>
      <w:r w:rsidRPr="00752966">
        <w:rPr>
          <w:i/>
        </w:rPr>
        <w:t>cristologia</w:t>
      </w:r>
      <w:r>
        <w:t xml:space="preserve">. La cristologia cerca di identificare una nuova vicinanza salvifica di Dio al mondo, realizzata in Cristo appunto, una vicinanza che né il mito né il logos riescono a cogliere adeguatamente. Utili precisazioni, ispirate più a </w:t>
      </w:r>
      <w:r w:rsidRPr="00752966">
        <w:rPr>
          <w:i/>
        </w:rPr>
        <w:t xml:space="preserve">J. </w:t>
      </w:r>
      <w:proofErr w:type="spellStart"/>
      <w:r w:rsidRPr="00752966">
        <w:rPr>
          <w:i/>
        </w:rPr>
        <w:t>Ladrière</w:t>
      </w:r>
      <w:proofErr w:type="spellEnd"/>
      <w:r>
        <w:t xml:space="preserve"> e a </w:t>
      </w:r>
      <w:r w:rsidRPr="00752966">
        <w:rPr>
          <w:i/>
        </w:rPr>
        <w:t xml:space="preserve">von </w:t>
      </w:r>
      <w:proofErr w:type="spellStart"/>
      <w:r w:rsidRPr="00752966">
        <w:rPr>
          <w:i/>
        </w:rPr>
        <w:t>Balthasar</w:t>
      </w:r>
      <w:proofErr w:type="spellEnd"/>
      <w:r>
        <w:t xml:space="preserve"> ma non distanti da queste precisazioni sull’originale contributo della cristologia nella tensione irriducibile tra esigenze del mito e della ragione, si possono trovare anche in </w:t>
      </w:r>
      <w:r w:rsidRPr="00034CD0">
        <w:rPr>
          <w:smallCaps/>
        </w:rPr>
        <w:t>A. Cozzi</w:t>
      </w:r>
      <w:r>
        <w:t xml:space="preserve">, </w:t>
      </w:r>
      <w:r w:rsidRPr="00034CD0">
        <w:rPr>
          <w:i/>
        </w:rPr>
        <w:t>Dio ha molti nomi</w:t>
      </w:r>
      <w:r>
        <w:t>, Milano, Paoline, 1999, 129-137.</w:t>
      </w:r>
    </w:p>
  </w:footnote>
  <w:footnote w:id="14">
    <w:p w:rsidR="002F29A7" w:rsidRDefault="002F29A7" w:rsidP="002F29A7">
      <w:pPr>
        <w:pStyle w:val="Testonotaapidipagina"/>
        <w:jc w:val="both"/>
      </w:pPr>
      <w:r>
        <w:rPr>
          <w:rStyle w:val="Rimandonotaapidipagina"/>
        </w:rPr>
        <w:footnoteRef/>
      </w:r>
      <w:r>
        <w:t xml:space="preserve"> In questa sua funzione il mito è la matrice originaria di ogni tentativo, anche filosofico e scientifico, di spiegare il costituirsi dell’universo cosmico. Il permanere della medesima matrice di pensiero nelle diverse cosmologie, che tentano con strumenti diversi di spiegare la struttura dell’universo da Esiodo e Platone a Kant e Einstein, è ben documentata da </w:t>
      </w:r>
      <w:r w:rsidRPr="007D4E2A">
        <w:rPr>
          <w:smallCaps/>
        </w:rPr>
        <w:t xml:space="preserve">J. </w:t>
      </w:r>
      <w:proofErr w:type="spellStart"/>
      <w:r w:rsidRPr="007D4E2A">
        <w:rPr>
          <w:smallCaps/>
        </w:rPr>
        <w:t>Ladrière</w:t>
      </w:r>
      <w:proofErr w:type="spellEnd"/>
      <w:r>
        <w:t xml:space="preserve">, </w:t>
      </w:r>
      <w:r>
        <w:rPr>
          <w:i/>
        </w:rPr>
        <w:t>L’</w:t>
      </w:r>
      <w:proofErr w:type="spellStart"/>
      <w:r>
        <w:rPr>
          <w:i/>
        </w:rPr>
        <w:t>articulation</w:t>
      </w:r>
      <w:proofErr w:type="spellEnd"/>
      <w:r>
        <w:rPr>
          <w:i/>
        </w:rPr>
        <w:t xml:space="preserve"> </w:t>
      </w:r>
      <w:proofErr w:type="spellStart"/>
      <w:r>
        <w:rPr>
          <w:i/>
        </w:rPr>
        <w:t>du</w:t>
      </w:r>
      <w:proofErr w:type="spellEnd"/>
      <w:r>
        <w:rPr>
          <w:i/>
        </w:rPr>
        <w:t xml:space="preserve"> </w:t>
      </w:r>
      <w:proofErr w:type="spellStart"/>
      <w:r>
        <w:rPr>
          <w:i/>
        </w:rPr>
        <w:t>sens</w:t>
      </w:r>
      <w:proofErr w:type="spellEnd"/>
      <w:r>
        <w:rPr>
          <w:i/>
        </w:rPr>
        <w:t xml:space="preserve">. I. </w:t>
      </w:r>
      <w:proofErr w:type="spellStart"/>
      <w:r>
        <w:rPr>
          <w:i/>
        </w:rPr>
        <w:t>Discours</w:t>
      </w:r>
      <w:proofErr w:type="spellEnd"/>
      <w:r>
        <w:rPr>
          <w:i/>
        </w:rPr>
        <w:t xml:space="preserve"> </w:t>
      </w:r>
      <w:proofErr w:type="spellStart"/>
      <w:r>
        <w:rPr>
          <w:i/>
        </w:rPr>
        <w:t>scientifique</w:t>
      </w:r>
      <w:proofErr w:type="spellEnd"/>
      <w:r>
        <w:rPr>
          <w:i/>
        </w:rPr>
        <w:t xml:space="preserve"> et parole de la </w:t>
      </w:r>
      <w:proofErr w:type="spellStart"/>
      <w:r>
        <w:rPr>
          <w:i/>
        </w:rPr>
        <w:t>foi</w:t>
      </w:r>
      <w:proofErr w:type="spellEnd"/>
      <w:r>
        <w:t xml:space="preserve">, Paris, </w:t>
      </w:r>
      <w:proofErr w:type="spellStart"/>
      <w:r>
        <w:t>Cerf</w:t>
      </w:r>
      <w:proofErr w:type="spellEnd"/>
      <w:r>
        <w:t xml:space="preserve">, 1984, pp. 195-210. </w:t>
      </w:r>
    </w:p>
  </w:footnote>
  <w:footnote w:id="15">
    <w:p w:rsidR="002F29A7" w:rsidRDefault="002F29A7" w:rsidP="002F29A7">
      <w:pPr>
        <w:pStyle w:val="Testonotaapidipagina"/>
        <w:jc w:val="both"/>
      </w:pPr>
      <w:r>
        <w:rPr>
          <w:rStyle w:val="Rimandonotaapidipagina"/>
        </w:rPr>
        <w:footnoteRef/>
      </w:r>
      <w:r>
        <w:t xml:space="preserve"> Per un’applicazione di questa distinzione al discorso su Dio si veda </w:t>
      </w:r>
      <w:r w:rsidRPr="007D4E2A">
        <w:rPr>
          <w:smallCaps/>
        </w:rPr>
        <w:t xml:space="preserve">J. </w:t>
      </w:r>
      <w:proofErr w:type="spellStart"/>
      <w:r w:rsidRPr="007D4E2A">
        <w:rPr>
          <w:smallCaps/>
        </w:rPr>
        <w:t>Ladrière</w:t>
      </w:r>
      <w:proofErr w:type="spellEnd"/>
      <w:r>
        <w:t xml:space="preserve">, </w:t>
      </w:r>
      <w:proofErr w:type="spellStart"/>
      <w:r>
        <w:rPr>
          <w:i/>
        </w:rPr>
        <w:t>Révélation</w:t>
      </w:r>
      <w:proofErr w:type="spellEnd"/>
      <w:r>
        <w:rPr>
          <w:i/>
        </w:rPr>
        <w:t xml:space="preserve"> et </w:t>
      </w:r>
      <w:proofErr w:type="spellStart"/>
      <w:r>
        <w:rPr>
          <w:i/>
        </w:rPr>
        <w:t>manifestation</w:t>
      </w:r>
      <w:proofErr w:type="spellEnd"/>
      <w:r>
        <w:t xml:space="preserve">, in </w:t>
      </w:r>
      <w:proofErr w:type="spellStart"/>
      <w:r>
        <w:rPr>
          <w:i/>
        </w:rPr>
        <w:t>Qu’est</w:t>
      </w:r>
      <w:proofErr w:type="spellEnd"/>
      <w:r>
        <w:rPr>
          <w:i/>
        </w:rPr>
        <w:t xml:space="preserve">-ce </w:t>
      </w:r>
      <w:proofErr w:type="spellStart"/>
      <w:r>
        <w:rPr>
          <w:i/>
        </w:rPr>
        <w:t>que</w:t>
      </w:r>
      <w:proofErr w:type="spellEnd"/>
      <w:r>
        <w:rPr>
          <w:i/>
        </w:rPr>
        <w:t xml:space="preserve"> </w:t>
      </w:r>
      <w:proofErr w:type="spellStart"/>
      <w:r>
        <w:rPr>
          <w:i/>
        </w:rPr>
        <w:t>Dieu</w:t>
      </w:r>
      <w:proofErr w:type="spellEnd"/>
      <w:r>
        <w:t xml:space="preserve">, Bruxelles, Publications </w:t>
      </w:r>
      <w:proofErr w:type="spellStart"/>
      <w:r>
        <w:t>des</w:t>
      </w:r>
      <w:proofErr w:type="spellEnd"/>
      <w:r>
        <w:t xml:space="preserve"> </w:t>
      </w:r>
      <w:proofErr w:type="spellStart"/>
      <w:r>
        <w:t>Facultés</w:t>
      </w:r>
      <w:proofErr w:type="spellEnd"/>
      <w:r>
        <w:t xml:space="preserve"> </w:t>
      </w:r>
      <w:proofErr w:type="spellStart"/>
      <w:r>
        <w:t>unive</w:t>
      </w:r>
      <w:proofErr w:type="spellEnd"/>
      <w:r>
        <w:t>. S. Louis, 1985, pp. 491-514.</w:t>
      </w:r>
    </w:p>
  </w:footnote>
  <w:footnote w:id="16">
    <w:p w:rsidR="002F29A7" w:rsidRDefault="002F29A7" w:rsidP="002F29A7">
      <w:pPr>
        <w:pStyle w:val="Testonotaapidipagina"/>
        <w:jc w:val="both"/>
      </w:pPr>
      <w:r>
        <w:rPr>
          <w:rStyle w:val="Rimandonotaapidipagina"/>
        </w:rPr>
        <w:footnoteRef/>
      </w:r>
      <w:r>
        <w:t xml:space="preserve"> Si veda su questo </w:t>
      </w:r>
      <w:r w:rsidRPr="007D4E2A">
        <w:rPr>
          <w:smallCaps/>
        </w:rPr>
        <w:t xml:space="preserve">H.U. von </w:t>
      </w:r>
      <w:proofErr w:type="spellStart"/>
      <w:r w:rsidRPr="007D4E2A">
        <w:rPr>
          <w:smallCaps/>
        </w:rPr>
        <w:t>Balthasar</w:t>
      </w:r>
      <w:proofErr w:type="spellEnd"/>
      <w:r>
        <w:t xml:space="preserve">, </w:t>
      </w:r>
      <w:proofErr w:type="spellStart"/>
      <w:r>
        <w:rPr>
          <w:i/>
        </w:rPr>
        <w:t>Spiritus</w:t>
      </w:r>
      <w:proofErr w:type="spellEnd"/>
      <w:r>
        <w:rPr>
          <w:i/>
        </w:rPr>
        <w:t xml:space="preserve"> Creator</w:t>
      </w:r>
      <w:r>
        <w:t xml:space="preserve">, Brescia, </w:t>
      </w:r>
      <w:proofErr w:type="spellStart"/>
      <w:r>
        <w:t>Morcelliana</w:t>
      </w:r>
      <w:proofErr w:type="spellEnd"/>
      <w:r>
        <w:t>, 1972, pp. 11-47.</w:t>
      </w:r>
    </w:p>
  </w:footnote>
  <w:footnote w:id="17">
    <w:p w:rsidR="002F29A7" w:rsidRDefault="002F29A7" w:rsidP="002F29A7">
      <w:pPr>
        <w:pStyle w:val="Testonotaapidipagina"/>
        <w:jc w:val="both"/>
      </w:pPr>
      <w:r>
        <w:rPr>
          <w:rStyle w:val="Rimandonotaapidipagina"/>
        </w:rPr>
        <w:footnoteRef/>
      </w:r>
      <w:r>
        <w:t xml:space="preserve"> </w:t>
      </w:r>
      <w:r w:rsidRPr="00437B0D">
        <w:rPr>
          <w:i/>
        </w:rPr>
        <w:t>Ivi</w:t>
      </w:r>
      <w:r>
        <w:t>, pp. 23-30.</w:t>
      </w:r>
    </w:p>
  </w:footnote>
  <w:footnote w:id="18">
    <w:p w:rsidR="00EB23B1" w:rsidRDefault="00EB23B1" w:rsidP="00EB23B1">
      <w:pPr>
        <w:pStyle w:val="Testonotaapidipagina"/>
        <w:jc w:val="both"/>
      </w:pPr>
      <w:r>
        <w:rPr>
          <w:rStyle w:val="Rimandonotaapidipagina"/>
        </w:rPr>
        <w:footnoteRef/>
      </w:r>
      <w:r>
        <w:t xml:space="preserve"> Si veda ad esempio </w:t>
      </w:r>
      <w:r w:rsidRPr="00304ADF">
        <w:rPr>
          <w:smallCaps/>
        </w:rPr>
        <w:t>G. Angelini</w:t>
      </w:r>
      <w:r>
        <w:t xml:space="preserve">, </w:t>
      </w:r>
      <w:r w:rsidRPr="00304ADF">
        <w:rPr>
          <w:i/>
        </w:rPr>
        <w:t>La relazione parentale e la struttura della coscienza morale</w:t>
      </w:r>
      <w:r>
        <w:t xml:space="preserve">, in </w:t>
      </w:r>
      <w:r w:rsidRPr="00304ADF">
        <w:rPr>
          <w:i/>
        </w:rPr>
        <w:t>«Onora il padre e la madre». L’autorità: l</w:t>
      </w:r>
      <w:r>
        <w:rPr>
          <w:i/>
        </w:rPr>
        <w:t>a rimozione moderna e la verità</w:t>
      </w:r>
      <w:r w:rsidRPr="00304ADF">
        <w:rPr>
          <w:i/>
        </w:rPr>
        <w:t xml:space="preserve"> </w:t>
      </w:r>
      <w:r>
        <w:rPr>
          <w:i/>
        </w:rPr>
        <w:t>c</w:t>
      </w:r>
      <w:r w:rsidRPr="00304ADF">
        <w:rPr>
          <w:i/>
        </w:rPr>
        <w:t>ristian</w:t>
      </w:r>
      <w:r>
        <w:rPr>
          <w:i/>
        </w:rPr>
        <w:t>a</w:t>
      </w:r>
      <w:r>
        <w:t>, Glossa, Milano 2012, 75-100.</w:t>
      </w:r>
    </w:p>
  </w:footnote>
  <w:footnote w:id="19">
    <w:p w:rsidR="00EB23B1" w:rsidRDefault="00EB23B1" w:rsidP="00EB23B1">
      <w:pPr>
        <w:pStyle w:val="Testonotaapidipagina"/>
        <w:jc w:val="both"/>
      </w:pPr>
      <w:r>
        <w:rPr>
          <w:rStyle w:val="Rimandonotaapidipagina"/>
        </w:rPr>
        <w:footnoteRef/>
      </w:r>
      <w:r>
        <w:t xml:space="preserve"> </w:t>
      </w:r>
      <w:r w:rsidRPr="005519E1">
        <w:rPr>
          <w:smallCaps/>
        </w:rPr>
        <w:t>D. Albarello</w:t>
      </w:r>
      <w:r>
        <w:t xml:space="preserve">, </w:t>
      </w:r>
      <w:r>
        <w:rPr>
          <w:i/>
        </w:rPr>
        <w:t>Ritorni del padre n</w:t>
      </w:r>
      <w:r w:rsidRPr="005519E1">
        <w:rPr>
          <w:i/>
        </w:rPr>
        <w:t>e</w:t>
      </w:r>
      <w:r>
        <w:rPr>
          <w:i/>
        </w:rPr>
        <w:t>l pensiero post-moderno</w:t>
      </w:r>
      <w:r>
        <w:t xml:space="preserve">, in </w:t>
      </w:r>
      <w:r w:rsidRPr="00304ADF">
        <w:rPr>
          <w:i/>
        </w:rPr>
        <w:t>«Onora il padre e la madre»</w:t>
      </w:r>
      <w:r>
        <w:t xml:space="preserve">, in </w:t>
      </w:r>
      <w:r w:rsidRPr="00304ADF">
        <w:rPr>
          <w:i/>
        </w:rPr>
        <w:t>«Onora il padre e la madre». L’autorità: l</w:t>
      </w:r>
      <w:r>
        <w:rPr>
          <w:i/>
        </w:rPr>
        <w:t>a rimozione moderna e la verità</w:t>
      </w:r>
      <w:r w:rsidRPr="00304ADF">
        <w:rPr>
          <w:i/>
        </w:rPr>
        <w:t xml:space="preserve"> </w:t>
      </w:r>
      <w:r>
        <w:rPr>
          <w:i/>
        </w:rPr>
        <w:t>c</w:t>
      </w:r>
      <w:r w:rsidRPr="00304ADF">
        <w:rPr>
          <w:i/>
        </w:rPr>
        <w:t>ristian</w:t>
      </w:r>
      <w:r>
        <w:rPr>
          <w:i/>
        </w:rPr>
        <w:t>a</w:t>
      </w:r>
      <w:r>
        <w:t>, Glossa, Milano 2012, 63-64.</w:t>
      </w:r>
    </w:p>
  </w:footnote>
  <w:footnote w:id="20">
    <w:p w:rsidR="00EB23B1" w:rsidRPr="00DF02C9" w:rsidRDefault="00EB23B1" w:rsidP="00EB23B1">
      <w:pPr>
        <w:pStyle w:val="Testonotaapidipagina"/>
        <w:jc w:val="both"/>
      </w:pPr>
      <w:r w:rsidRPr="00DF02C9">
        <w:rPr>
          <w:rStyle w:val="Rimandonotaapidipagina"/>
        </w:rPr>
        <w:footnoteRef/>
      </w:r>
      <w:r w:rsidRPr="00DF02C9">
        <w:t xml:space="preserve"> Per una prima identificazione del senso dei termini e delle dimensioni della problematica si veda </w:t>
      </w:r>
      <w:r w:rsidRPr="00DF02C9">
        <w:rPr>
          <w:smallCaps/>
        </w:rPr>
        <w:t>G. Angelini</w:t>
      </w:r>
      <w:r w:rsidRPr="00DF02C9">
        <w:t xml:space="preserve"> (ed), </w:t>
      </w:r>
      <w:r w:rsidRPr="00DF02C9">
        <w:rPr>
          <w:i/>
        </w:rPr>
        <w:t>La religione postmoderna</w:t>
      </w:r>
      <w:r>
        <w:t xml:space="preserve">, </w:t>
      </w:r>
      <w:r w:rsidRPr="00DF02C9">
        <w:t xml:space="preserve">Glossa, </w:t>
      </w:r>
      <w:r>
        <w:t xml:space="preserve">Milano </w:t>
      </w:r>
      <w:r w:rsidRPr="00DF02C9">
        <w:t xml:space="preserve">2004; </w:t>
      </w:r>
      <w:r w:rsidRPr="00DF02C9">
        <w:rPr>
          <w:smallCaps/>
        </w:rPr>
        <w:t xml:space="preserve">P:A: </w:t>
      </w:r>
      <w:proofErr w:type="spellStart"/>
      <w:r w:rsidRPr="00DF02C9">
        <w:rPr>
          <w:smallCaps/>
        </w:rPr>
        <w:t>Sequeri</w:t>
      </w:r>
      <w:proofErr w:type="spellEnd"/>
      <w:r w:rsidRPr="00DF02C9">
        <w:t xml:space="preserve">, </w:t>
      </w:r>
      <w:r w:rsidRPr="00DF02C9">
        <w:rPr>
          <w:i/>
        </w:rPr>
        <w:t>Sensibili allo spirito. Umanesimo religioso e ordine degli affetti</w:t>
      </w:r>
      <w:r>
        <w:t xml:space="preserve">, </w:t>
      </w:r>
      <w:r w:rsidRPr="00DF02C9">
        <w:t xml:space="preserve">Glossa, </w:t>
      </w:r>
      <w:r>
        <w:t xml:space="preserve">Milano </w:t>
      </w:r>
      <w:r w:rsidRPr="00DF02C9">
        <w:t>2001.</w:t>
      </w:r>
    </w:p>
  </w:footnote>
  <w:footnote w:id="21">
    <w:p w:rsidR="00EB23B1" w:rsidRPr="00DF02C9" w:rsidRDefault="00EB23B1" w:rsidP="00EB23B1">
      <w:pPr>
        <w:pStyle w:val="Testonotaapidipagina"/>
      </w:pPr>
      <w:r w:rsidRPr="00DF02C9">
        <w:rPr>
          <w:rStyle w:val="Rimandonotaapidipagina"/>
        </w:rPr>
        <w:footnoteRef/>
      </w:r>
      <w:r w:rsidRPr="00DF02C9">
        <w:t xml:space="preserve"> </w:t>
      </w:r>
      <w:r w:rsidRPr="00DF02C9">
        <w:rPr>
          <w:smallCaps/>
        </w:rPr>
        <w:t xml:space="preserve">P:A: </w:t>
      </w:r>
      <w:proofErr w:type="spellStart"/>
      <w:r w:rsidRPr="00DF02C9">
        <w:rPr>
          <w:smallCaps/>
        </w:rPr>
        <w:t>Sequeri</w:t>
      </w:r>
      <w:proofErr w:type="spellEnd"/>
      <w:r w:rsidRPr="00DF02C9">
        <w:t xml:space="preserve">, </w:t>
      </w:r>
      <w:r w:rsidRPr="00DF02C9">
        <w:rPr>
          <w:i/>
        </w:rPr>
        <w:t>Sensibili allo spirito. Umanesimo religioso e ordine degli affetti</w:t>
      </w:r>
      <w:r>
        <w:t>,</w:t>
      </w:r>
      <w:r>
        <w:rPr>
          <w:i/>
        </w:rPr>
        <w:t xml:space="preserve"> </w:t>
      </w:r>
      <w:r w:rsidRPr="00DF02C9">
        <w:t>3-6.</w:t>
      </w:r>
    </w:p>
  </w:footnote>
  <w:footnote w:id="22">
    <w:p w:rsidR="00EB23B1" w:rsidRPr="00DF02C9" w:rsidRDefault="00EB23B1" w:rsidP="00EB23B1">
      <w:pPr>
        <w:pStyle w:val="Testonotaapidipagina"/>
      </w:pPr>
      <w:r w:rsidRPr="00DF02C9">
        <w:rPr>
          <w:rStyle w:val="Rimandonotaapidipagina"/>
        </w:rPr>
        <w:footnoteRef/>
      </w:r>
      <w:r w:rsidRPr="00DF02C9">
        <w:t xml:space="preserve"> </w:t>
      </w:r>
      <w:r w:rsidRPr="00DF02C9">
        <w:rPr>
          <w:i/>
        </w:rPr>
        <w:t>Ivi</w:t>
      </w:r>
      <w:r w:rsidRPr="00DF02C9">
        <w:t>, 12-15.</w:t>
      </w:r>
    </w:p>
  </w:footnote>
  <w:footnote w:id="23">
    <w:p w:rsidR="005402AE" w:rsidRPr="00B14CED" w:rsidRDefault="005402AE" w:rsidP="005402AE">
      <w:pPr>
        <w:pStyle w:val="Testocommento"/>
        <w:ind w:firstLine="284"/>
        <w:jc w:val="both"/>
        <w:rPr>
          <w:rFonts w:ascii="Times New Roman" w:hAnsi="Times New Roman"/>
          <w:lang w:val="en-US"/>
        </w:rPr>
      </w:pPr>
      <w:r w:rsidRPr="00B14CED">
        <w:rPr>
          <w:rStyle w:val="Rimandonotaapidipagina"/>
          <w:rFonts w:ascii="Times New Roman" w:hAnsi="Times New Roman"/>
          <w:lang w:val="it-IT"/>
        </w:rPr>
        <w:footnoteRef/>
      </w:r>
      <w:r w:rsidRPr="00B14CED">
        <w:rPr>
          <w:rFonts w:ascii="Times New Roman" w:hAnsi="Times New Roman"/>
          <w:lang w:val="en-US"/>
        </w:rPr>
        <w:t xml:space="preserve"> </w:t>
      </w:r>
      <w:r w:rsidRPr="006E6527">
        <w:rPr>
          <w:rFonts w:ascii="Times New Roman" w:hAnsi="Times New Roman"/>
          <w:lang w:val="en-US"/>
        </w:rPr>
        <w:t xml:space="preserve">Cf. </w:t>
      </w:r>
      <w:r w:rsidRPr="006E6527">
        <w:rPr>
          <w:rFonts w:ascii="Times New Roman" w:hAnsi="Times New Roman"/>
          <w:smallCaps/>
          <w:lang w:val="en-US"/>
        </w:rPr>
        <w:t>T.</w:t>
      </w:r>
      <w:r w:rsidRPr="00B14CED">
        <w:rPr>
          <w:rFonts w:ascii="Times New Roman" w:hAnsi="Times New Roman"/>
          <w:smallCaps/>
          <w:lang w:val="en-US"/>
        </w:rPr>
        <w:t xml:space="preserve"> Berger</w:t>
      </w:r>
      <w:r w:rsidRPr="00B14CED">
        <w:rPr>
          <w:rFonts w:ascii="Times New Roman" w:hAnsi="Times New Roman"/>
          <w:lang w:val="en-US"/>
        </w:rPr>
        <w:t xml:space="preserve">, </w:t>
      </w:r>
      <w:r w:rsidRPr="00B14CED">
        <w:rPr>
          <w:rFonts w:ascii="Times New Roman" w:hAnsi="Times New Roman"/>
          <w:i/>
          <w:iCs/>
          <w:lang w:val="en-US"/>
        </w:rPr>
        <w:t>@ Worship: Liturgical Practices in Digital Worlds</w:t>
      </w:r>
      <w:r w:rsidRPr="00B14CED">
        <w:rPr>
          <w:rFonts w:ascii="Times New Roman" w:hAnsi="Times New Roman"/>
          <w:lang w:val="en-US"/>
        </w:rPr>
        <w:t xml:space="preserve"> (Liturgy, Worship, and Society Series), New York/London 2019.</w:t>
      </w:r>
    </w:p>
  </w:footnote>
  <w:footnote w:id="24">
    <w:p w:rsidR="005402AE" w:rsidRPr="00BB5C3D" w:rsidRDefault="005402AE" w:rsidP="005402AE">
      <w:pPr>
        <w:pStyle w:val="Testonotaapidipagina"/>
        <w:ind w:firstLine="284"/>
        <w:jc w:val="both"/>
      </w:pPr>
      <w:r w:rsidRPr="00BB5C3D">
        <w:rPr>
          <w:rStyle w:val="Rimandonotaapidipagina"/>
        </w:rPr>
        <w:footnoteRef/>
      </w:r>
      <w:r w:rsidRPr="00BB5C3D">
        <w:t xml:space="preserve"> </w:t>
      </w:r>
      <w:proofErr w:type="spellStart"/>
      <w:r w:rsidRPr="00BB5C3D">
        <w:t>Cf</w:t>
      </w:r>
      <w:proofErr w:type="spellEnd"/>
      <w:r w:rsidRPr="00BB5C3D">
        <w:t xml:space="preserve">. </w:t>
      </w:r>
      <w:r w:rsidRPr="00BB5C3D">
        <w:rPr>
          <w:smallCaps/>
        </w:rPr>
        <w:t>Dicastero per la Dottrina della Fede – Dicastero per la Cultura e l’Educazione</w:t>
      </w:r>
      <w:r w:rsidRPr="00BB5C3D">
        <w:t xml:space="preserve">, Nota </w:t>
      </w:r>
      <w:r w:rsidRPr="00BB5C3D">
        <w:rPr>
          <w:i/>
        </w:rPr>
        <w:t>Antiqua et Nova</w:t>
      </w:r>
      <w:r w:rsidRPr="00BB5C3D">
        <w:t>, 28 gennaio 2025, 104-107.</w:t>
      </w:r>
    </w:p>
  </w:footnote>
  <w:footnote w:id="25">
    <w:p w:rsidR="005402AE" w:rsidRPr="00BB5C3D" w:rsidRDefault="005402AE" w:rsidP="005402AE">
      <w:pPr>
        <w:pStyle w:val="Testonotaapidipagina"/>
        <w:ind w:firstLine="284"/>
        <w:jc w:val="both"/>
      </w:pPr>
      <w:r w:rsidRPr="00BB5C3D">
        <w:rPr>
          <w:rStyle w:val="Rimandonotaapidipagina"/>
        </w:rPr>
        <w:footnoteRef/>
      </w:r>
      <w:r w:rsidRPr="00BB5C3D">
        <w:t xml:space="preserve"> </w:t>
      </w:r>
      <w:proofErr w:type="spellStart"/>
      <w:r w:rsidRPr="00BB5C3D">
        <w:t>Cf</w:t>
      </w:r>
      <w:proofErr w:type="spellEnd"/>
      <w:r w:rsidRPr="00BB5C3D">
        <w:t xml:space="preserve">. </w:t>
      </w:r>
      <w:r w:rsidRPr="00BB5C3D">
        <w:rPr>
          <w:smallCaps/>
        </w:rPr>
        <w:t>Francesco</w:t>
      </w:r>
      <w:r w:rsidRPr="00BB5C3D">
        <w:t xml:space="preserve">, </w:t>
      </w:r>
      <w:proofErr w:type="spellStart"/>
      <w:r w:rsidRPr="00BB5C3D">
        <w:t>Lett</w:t>
      </w:r>
      <w:proofErr w:type="spellEnd"/>
      <w:r w:rsidRPr="00BB5C3D">
        <w:t xml:space="preserve">. </w:t>
      </w:r>
      <w:proofErr w:type="spellStart"/>
      <w:r w:rsidRPr="00BB5C3D">
        <w:t>Enc</w:t>
      </w:r>
      <w:proofErr w:type="spellEnd"/>
      <w:r w:rsidRPr="00BB5C3D">
        <w:t xml:space="preserve">. </w:t>
      </w:r>
      <w:proofErr w:type="spellStart"/>
      <w:r w:rsidRPr="00BB5C3D">
        <w:rPr>
          <w:i/>
        </w:rPr>
        <w:t>Laudato</w:t>
      </w:r>
      <w:proofErr w:type="spellEnd"/>
      <w:r w:rsidRPr="00BB5C3D">
        <w:rPr>
          <w:i/>
        </w:rPr>
        <w:t xml:space="preserve"> </w:t>
      </w:r>
      <w:proofErr w:type="spellStart"/>
      <w:r w:rsidRPr="00BB5C3D">
        <w:rPr>
          <w:i/>
        </w:rPr>
        <w:t>si’</w:t>
      </w:r>
      <w:proofErr w:type="spellEnd"/>
      <w:r w:rsidRPr="00BB5C3D">
        <w:t>, 24 maggio 2015, 85, 199-201, 222.</w:t>
      </w:r>
    </w:p>
  </w:footnote>
  <w:footnote w:id="26">
    <w:p w:rsidR="002F29A7" w:rsidRDefault="002F29A7" w:rsidP="002F29A7">
      <w:pPr>
        <w:pStyle w:val="Testonotaapidipagina"/>
        <w:jc w:val="both"/>
      </w:pPr>
      <w:r>
        <w:rPr>
          <w:rStyle w:val="Rimandonotaapidipagina"/>
        </w:rPr>
        <w:footnoteRef/>
      </w:r>
      <w:r>
        <w:t xml:space="preserve"> </w:t>
      </w:r>
      <w:r w:rsidRPr="007448D9">
        <w:rPr>
          <w:smallCaps/>
        </w:rPr>
        <w:t xml:space="preserve">P. </w:t>
      </w:r>
      <w:r>
        <w:rPr>
          <w:smallCaps/>
        </w:rPr>
        <w:t>Gamberi</w:t>
      </w:r>
      <w:r w:rsidRPr="007448D9">
        <w:rPr>
          <w:smallCaps/>
        </w:rPr>
        <w:t>ni</w:t>
      </w:r>
      <w:r>
        <w:t xml:space="preserve">, </w:t>
      </w:r>
      <w:r w:rsidRPr="007448D9">
        <w:rPr>
          <w:i/>
        </w:rPr>
        <w:t>Deus due punto zero. Ripensare la fede nel post-teismo</w:t>
      </w:r>
      <w:r>
        <w:t>, Gabrielli editore, Verona 2022.</w:t>
      </w:r>
    </w:p>
  </w:footnote>
  <w:footnote w:id="27">
    <w:p w:rsidR="002F29A7" w:rsidRDefault="002F29A7" w:rsidP="002F29A7">
      <w:pPr>
        <w:pStyle w:val="Testonotaapidipagina"/>
        <w:jc w:val="both"/>
      </w:pPr>
      <w:r>
        <w:rPr>
          <w:rStyle w:val="Rimandonotaapidipagina"/>
        </w:rPr>
        <w:footnoteRef/>
      </w:r>
      <w:r>
        <w:t xml:space="preserve"> </w:t>
      </w:r>
      <w:r w:rsidRPr="004C1E97">
        <w:rPr>
          <w:i/>
        </w:rPr>
        <w:t>Ivi</w:t>
      </w:r>
      <w:r>
        <w:t>, 444-445.</w:t>
      </w:r>
    </w:p>
  </w:footnote>
  <w:footnote w:id="28">
    <w:p w:rsidR="002F29A7" w:rsidRDefault="002F29A7" w:rsidP="002F29A7">
      <w:pPr>
        <w:pStyle w:val="Testonotaapidipagina"/>
        <w:jc w:val="both"/>
      </w:pPr>
      <w:r>
        <w:rPr>
          <w:rStyle w:val="Rimandonotaapidipagina"/>
        </w:rPr>
        <w:footnoteRef/>
      </w:r>
      <w:r>
        <w:t xml:space="preserve"> Citato in </w:t>
      </w:r>
      <w:r w:rsidRPr="00DD7918">
        <w:rPr>
          <w:i/>
        </w:rPr>
        <w:t>Ivi</w:t>
      </w:r>
      <w:r>
        <w:t>, 445.</w:t>
      </w:r>
    </w:p>
  </w:footnote>
  <w:footnote w:id="29">
    <w:p w:rsidR="002F29A7" w:rsidRDefault="002F29A7" w:rsidP="002F29A7">
      <w:pPr>
        <w:pStyle w:val="Testonotaapidipagina"/>
        <w:jc w:val="both"/>
      </w:pPr>
      <w:r>
        <w:rPr>
          <w:rStyle w:val="Rimandonotaapidipagina"/>
        </w:rPr>
        <w:footnoteRef/>
      </w:r>
      <w:r>
        <w:t xml:space="preserve"> </w:t>
      </w:r>
      <w:r w:rsidRPr="00FA21D1">
        <w:rPr>
          <w:i/>
        </w:rPr>
        <w:t>Sermoni tedeschi</w:t>
      </w:r>
      <w:r>
        <w:t xml:space="preserve">, Adelphi, Milano 1985, 124-125, citato in </w:t>
      </w:r>
      <w:r w:rsidRPr="00FA21D1">
        <w:rPr>
          <w:i/>
        </w:rPr>
        <w:t>Ivi</w:t>
      </w:r>
      <w:r>
        <w:t>, 445-446.</w:t>
      </w:r>
    </w:p>
  </w:footnote>
  <w:footnote w:id="30">
    <w:p w:rsidR="002F29A7" w:rsidRDefault="002F29A7" w:rsidP="002F29A7">
      <w:pPr>
        <w:pStyle w:val="Testonotaapidipagina"/>
        <w:jc w:val="both"/>
      </w:pPr>
      <w:r>
        <w:rPr>
          <w:rStyle w:val="Rimandonotaapidipagina"/>
        </w:rPr>
        <w:footnoteRef/>
      </w:r>
      <w:r>
        <w:t xml:space="preserve"> </w:t>
      </w:r>
      <w:proofErr w:type="spellStart"/>
      <w:r w:rsidRPr="007E5D3F">
        <w:rPr>
          <w:smallCaps/>
        </w:rPr>
        <w:t>Maister</w:t>
      </w:r>
      <w:proofErr w:type="spellEnd"/>
      <w:r w:rsidRPr="007E5D3F">
        <w:rPr>
          <w:smallCaps/>
        </w:rPr>
        <w:t xml:space="preserve"> </w:t>
      </w:r>
      <w:proofErr w:type="spellStart"/>
      <w:r w:rsidRPr="007E5D3F">
        <w:rPr>
          <w:smallCaps/>
        </w:rPr>
        <w:t>Eckhart</w:t>
      </w:r>
      <w:proofErr w:type="spellEnd"/>
      <w:r>
        <w:t xml:space="preserve">, </w:t>
      </w:r>
      <w:r w:rsidRPr="007E5D3F">
        <w:rPr>
          <w:i/>
        </w:rPr>
        <w:t>I Sermoni</w:t>
      </w:r>
      <w:r>
        <w:t xml:space="preserve">, Edizioni Paoline, Milano 2002, 133, citato in </w:t>
      </w:r>
      <w:r w:rsidRPr="007E5D3F">
        <w:rPr>
          <w:i/>
        </w:rPr>
        <w:t>Ivi</w:t>
      </w:r>
      <w:r>
        <w:t>, 452.</w:t>
      </w:r>
    </w:p>
  </w:footnote>
  <w:footnote w:id="31">
    <w:p w:rsidR="002F29A7" w:rsidRDefault="002F29A7" w:rsidP="002F29A7">
      <w:pPr>
        <w:pStyle w:val="Testonotaapidipagina"/>
        <w:jc w:val="both"/>
      </w:pPr>
      <w:r>
        <w:rPr>
          <w:rStyle w:val="Rimandonotaapidipagina"/>
        </w:rPr>
        <w:footnoteRef/>
      </w:r>
      <w:r>
        <w:t xml:space="preserve"> </w:t>
      </w:r>
      <w:r w:rsidRPr="00F252A8">
        <w:rPr>
          <w:i/>
        </w:rPr>
        <w:t>Ivi</w:t>
      </w:r>
      <w:r>
        <w:t>, 449-452.</w:t>
      </w:r>
    </w:p>
  </w:footnote>
  <w:footnote w:id="32">
    <w:p w:rsidR="002F29A7" w:rsidRDefault="002F29A7" w:rsidP="002F29A7">
      <w:pPr>
        <w:pStyle w:val="Testonotaapidipagina"/>
        <w:jc w:val="both"/>
      </w:pPr>
      <w:r>
        <w:rPr>
          <w:rStyle w:val="Rimandonotaapidipagina"/>
        </w:rPr>
        <w:footnoteRef/>
      </w:r>
      <w:r>
        <w:t xml:space="preserve"> </w:t>
      </w:r>
      <w:r w:rsidRPr="00CC09C5">
        <w:rPr>
          <w:i/>
        </w:rPr>
        <w:t>Ivi</w:t>
      </w:r>
      <w:r>
        <w:t>, 453.</w:t>
      </w:r>
    </w:p>
  </w:footnote>
  <w:footnote w:id="33">
    <w:p w:rsidR="002F29A7" w:rsidRDefault="002F29A7" w:rsidP="002F29A7">
      <w:pPr>
        <w:pStyle w:val="Testonotaapidipagina"/>
        <w:jc w:val="both"/>
      </w:pPr>
      <w:r>
        <w:rPr>
          <w:rStyle w:val="Rimandonotaapidipagina"/>
        </w:rPr>
        <w:footnoteRef/>
      </w:r>
      <w:r>
        <w:t xml:space="preserve"> Citata in </w:t>
      </w:r>
      <w:r w:rsidRPr="00CC09C5">
        <w:rPr>
          <w:i/>
        </w:rPr>
        <w:t>Ivi</w:t>
      </w:r>
      <w:r>
        <w:t>, 454.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D69D1"/>
    <w:multiLevelType w:val="hybridMultilevel"/>
    <w:tmpl w:val="56880992"/>
    <w:lvl w:ilvl="0" w:tplc="866EBC1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nsid w:val="474603A7"/>
    <w:multiLevelType w:val="hybridMultilevel"/>
    <w:tmpl w:val="83D6169A"/>
    <w:lvl w:ilvl="0" w:tplc="8430C93C">
      <w:start w:val="1"/>
      <w:numFmt w:val="decimal"/>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nsid w:val="55805668"/>
    <w:multiLevelType w:val="hybridMultilevel"/>
    <w:tmpl w:val="51D4B982"/>
    <w:lvl w:ilvl="0" w:tplc="4DF88EDE">
      <w:start w:val="1"/>
      <w:numFmt w:val="lowerLetter"/>
      <w:lvlText w:val="(%1)"/>
      <w:lvlJc w:val="left"/>
      <w:pPr>
        <w:ind w:left="720" w:hanging="360"/>
      </w:pPr>
      <w:rPr>
        <w:rFonts w:hint="default"/>
        <w:i/>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9A7"/>
    <w:rsid w:val="0019341A"/>
    <w:rsid w:val="002F29A7"/>
    <w:rsid w:val="00376388"/>
    <w:rsid w:val="00387E95"/>
    <w:rsid w:val="004112B6"/>
    <w:rsid w:val="005402AE"/>
    <w:rsid w:val="00577595"/>
    <w:rsid w:val="00BC58DD"/>
    <w:rsid w:val="00EB23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29A7"/>
    <w:pPr>
      <w:spacing w:after="0" w:line="240" w:lineRule="auto"/>
    </w:pPr>
    <w:rPr>
      <w:rFonts w:ascii="Times New Roman" w:eastAsia="Times New Roman" w:hAnsi="Times New Roman" w:cs="Times New Roman"/>
      <w:sz w:val="24"/>
      <w:szCs w:val="24"/>
      <w:lang w:eastAsia="it-IT"/>
    </w:rPr>
  </w:style>
  <w:style w:type="paragraph" w:styleId="Titolo6">
    <w:name w:val="heading 6"/>
    <w:basedOn w:val="Normale"/>
    <w:next w:val="Normale"/>
    <w:link w:val="Titolo6Carattere"/>
    <w:uiPriority w:val="9"/>
    <w:semiHidden/>
    <w:unhideWhenUsed/>
    <w:qFormat/>
    <w:rsid w:val="005402AE"/>
    <w:pPr>
      <w:keepNext/>
      <w:keepLines/>
      <w:spacing w:before="40"/>
      <w:outlineLvl w:val="5"/>
    </w:pPr>
    <w:rPr>
      <w:rFonts w:ascii="Calibri" w:hAnsi="Calibri"/>
      <w:i/>
      <w:iCs/>
      <w:color w:val="595959"/>
      <w:kern w:val="2"/>
      <w:lang w:val="es-E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aliases w:val=" Carattere"/>
    <w:basedOn w:val="Normale"/>
    <w:link w:val="TestonotaapidipaginaCarattere"/>
    <w:rsid w:val="002F29A7"/>
    <w:rPr>
      <w:sz w:val="20"/>
      <w:szCs w:val="20"/>
    </w:rPr>
  </w:style>
  <w:style w:type="character" w:customStyle="1" w:styleId="TestonotaapidipaginaCarattere">
    <w:name w:val="Testo nota a piè di pagina Carattere"/>
    <w:aliases w:val=" Carattere Carattere"/>
    <w:basedOn w:val="Carpredefinitoparagrafo"/>
    <w:link w:val="Testonotaapidipagina"/>
    <w:rsid w:val="002F29A7"/>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2F29A7"/>
    <w:rPr>
      <w:vertAlign w:val="superscript"/>
    </w:rPr>
  </w:style>
  <w:style w:type="paragraph" w:styleId="Citazione">
    <w:name w:val="Quote"/>
    <w:basedOn w:val="Normale"/>
    <w:next w:val="Corpotesto"/>
    <w:link w:val="CitazioneCarattere"/>
    <w:qFormat/>
    <w:rsid w:val="002F29A7"/>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2F29A7"/>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2F29A7"/>
    <w:pPr>
      <w:spacing w:after="120"/>
    </w:pPr>
  </w:style>
  <w:style w:type="character" w:customStyle="1" w:styleId="CorpotestoCarattere">
    <w:name w:val="Corpo testo Carattere"/>
    <w:basedOn w:val="Carpredefinitoparagrafo"/>
    <w:link w:val="Corpotesto"/>
    <w:uiPriority w:val="99"/>
    <w:semiHidden/>
    <w:rsid w:val="002F29A7"/>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F29A7"/>
    <w:pPr>
      <w:ind w:left="720"/>
      <w:contextualSpacing/>
    </w:pPr>
  </w:style>
  <w:style w:type="character" w:customStyle="1" w:styleId="Titolo6Carattere">
    <w:name w:val="Titolo 6 Carattere"/>
    <w:basedOn w:val="Carpredefinitoparagrafo"/>
    <w:link w:val="Titolo6"/>
    <w:uiPriority w:val="9"/>
    <w:semiHidden/>
    <w:rsid w:val="005402AE"/>
    <w:rPr>
      <w:rFonts w:ascii="Calibri" w:eastAsia="Times New Roman" w:hAnsi="Calibri" w:cs="Times New Roman"/>
      <w:i/>
      <w:iCs/>
      <w:color w:val="595959"/>
      <w:kern w:val="2"/>
      <w:sz w:val="24"/>
      <w:szCs w:val="24"/>
      <w:lang w:val="es-ES"/>
    </w:rPr>
  </w:style>
  <w:style w:type="paragraph" w:styleId="Testocommento">
    <w:name w:val="annotation text"/>
    <w:basedOn w:val="Normale"/>
    <w:link w:val="TestocommentoCarattere"/>
    <w:uiPriority w:val="99"/>
    <w:unhideWhenUsed/>
    <w:rsid w:val="005402AE"/>
    <w:rPr>
      <w:rFonts w:ascii="Calibri" w:hAnsi="Calibri"/>
      <w:kern w:val="2"/>
      <w:sz w:val="20"/>
      <w:szCs w:val="20"/>
      <w:lang w:val="es-ES" w:eastAsia="en-US"/>
    </w:rPr>
  </w:style>
  <w:style w:type="character" w:customStyle="1" w:styleId="TestocommentoCarattere">
    <w:name w:val="Testo commento Carattere"/>
    <w:basedOn w:val="Carpredefinitoparagrafo"/>
    <w:link w:val="Testocommento"/>
    <w:uiPriority w:val="99"/>
    <w:rsid w:val="005402AE"/>
    <w:rPr>
      <w:rFonts w:ascii="Calibri" w:eastAsia="Times New Roman" w:hAnsi="Calibri" w:cs="Times New Roman"/>
      <w:kern w:val="2"/>
      <w:sz w:val="20"/>
      <w:szCs w:val="20"/>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F29A7"/>
    <w:pPr>
      <w:spacing w:after="0" w:line="240" w:lineRule="auto"/>
    </w:pPr>
    <w:rPr>
      <w:rFonts w:ascii="Times New Roman" w:eastAsia="Times New Roman" w:hAnsi="Times New Roman" w:cs="Times New Roman"/>
      <w:sz w:val="24"/>
      <w:szCs w:val="24"/>
      <w:lang w:eastAsia="it-IT"/>
    </w:rPr>
  </w:style>
  <w:style w:type="paragraph" w:styleId="Titolo6">
    <w:name w:val="heading 6"/>
    <w:basedOn w:val="Normale"/>
    <w:next w:val="Normale"/>
    <w:link w:val="Titolo6Carattere"/>
    <w:uiPriority w:val="9"/>
    <w:semiHidden/>
    <w:unhideWhenUsed/>
    <w:qFormat/>
    <w:rsid w:val="005402AE"/>
    <w:pPr>
      <w:keepNext/>
      <w:keepLines/>
      <w:spacing w:before="40"/>
      <w:outlineLvl w:val="5"/>
    </w:pPr>
    <w:rPr>
      <w:rFonts w:ascii="Calibri" w:hAnsi="Calibri"/>
      <w:i/>
      <w:iCs/>
      <w:color w:val="595959"/>
      <w:kern w:val="2"/>
      <w:lang w:val="es-ES"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aliases w:val=" Carattere"/>
    <w:basedOn w:val="Normale"/>
    <w:link w:val="TestonotaapidipaginaCarattere"/>
    <w:rsid w:val="002F29A7"/>
    <w:rPr>
      <w:sz w:val="20"/>
      <w:szCs w:val="20"/>
    </w:rPr>
  </w:style>
  <w:style w:type="character" w:customStyle="1" w:styleId="TestonotaapidipaginaCarattere">
    <w:name w:val="Testo nota a piè di pagina Carattere"/>
    <w:aliases w:val=" Carattere Carattere"/>
    <w:basedOn w:val="Carpredefinitoparagrafo"/>
    <w:link w:val="Testonotaapidipagina"/>
    <w:rsid w:val="002F29A7"/>
    <w:rPr>
      <w:rFonts w:ascii="Times New Roman" w:eastAsia="Times New Roman" w:hAnsi="Times New Roman" w:cs="Times New Roman"/>
      <w:sz w:val="20"/>
      <w:szCs w:val="20"/>
      <w:lang w:eastAsia="it-IT"/>
    </w:rPr>
  </w:style>
  <w:style w:type="character" w:styleId="Rimandonotaapidipagina">
    <w:name w:val="footnote reference"/>
    <w:basedOn w:val="Carpredefinitoparagrafo"/>
    <w:rsid w:val="002F29A7"/>
    <w:rPr>
      <w:vertAlign w:val="superscript"/>
    </w:rPr>
  </w:style>
  <w:style w:type="paragraph" w:styleId="Citazione">
    <w:name w:val="Quote"/>
    <w:basedOn w:val="Normale"/>
    <w:next w:val="Corpotesto"/>
    <w:link w:val="CitazioneCarattere"/>
    <w:qFormat/>
    <w:rsid w:val="002F29A7"/>
    <w:pPr>
      <w:tabs>
        <w:tab w:val="right" w:pos="284"/>
      </w:tabs>
      <w:spacing w:before="180" w:after="180" w:line="250" w:lineRule="exact"/>
      <w:ind w:left="284"/>
      <w:jc w:val="both"/>
    </w:pPr>
    <w:rPr>
      <w:sz w:val="25"/>
      <w:szCs w:val="20"/>
    </w:rPr>
  </w:style>
  <w:style w:type="character" w:customStyle="1" w:styleId="CitazioneCarattere">
    <w:name w:val="Citazione Carattere"/>
    <w:basedOn w:val="Carpredefinitoparagrafo"/>
    <w:link w:val="Citazione"/>
    <w:rsid w:val="002F29A7"/>
    <w:rPr>
      <w:rFonts w:ascii="Times New Roman" w:eastAsia="Times New Roman" w:hAnsi="Times New Roman" w:cs="Times New Roman"/>
      <w:sz w:val="25"/>
      <w:szCs w:val="20"/>
      <w:lang w:eastAsia="it-IT"/>
    </w:rPr>
  </w:style>
  <w:style w:type="paragraph" w:styleId="Corpotesto">
    <w:name w:val="Body Text"/>
    <w:basedOn w:val="Normale"/>
    <w:link w:val="CorpotestoCarattere"/>
    <w:uiPriority w:val="99"/>
    <w:semiHidden/>
    <w:unhideWhenUsed/>
    <w:rsid w:val="002F29A7"/>
    <w:pPr>
      <w:spacing w:after="120"/>
    </w:pPr>
  </w:style>
  <w:style w:type="character" w:customStyle="1" w:styleId="CorpotestoCarattere">
    <w:name w:val="Corpo testo Carattere"/>
    <w:basedOn w:val="Carpredefinitoparagrafo"/>
    <w:link w:val="Corpotesto"/>
    <w:uiPriority w:val="99"/>
    <w:semiHidden/>
    <w:rsid w:val="002F29A7"/>
    <w:rPr>
      <w:rFonts w:ascii="Times New Roman" w:eastAsia="Times New Roman" w:hAnsi="Times New Roman" w:cs="Times New Roman"/>
      <w:sz w:val="24"/>
      <w:szCs w:val="24"/>
      <w:lang w:eastAsia="it-IT"/>
    </w:rPr>
  </w:style>
  <w:style w:type="paragraph" w:styleId="Paragrafoelenco">
    <w:name w:val="List Paragraph"/>
    <w:basedOn w:val="Normale"/>
    <w:uiPriority w:val="34"/>
    <w:qFormat/>
    <w:rsid w:val="002F29A7"/>
    <w:pPr>
      <w:ind w:left="720"/>
      <w:contextualSpacing/>
    </w:pPr>
  </w:style>
  <w:style w:type="character" w:customStyle="1" w:styleId="Titolo6Carattere">
    <w:name w:val="Titolo 6 Carattere"/>
    <w:basedOn w:val="Carpredefinitoparagrafo"/>
    <w:link w:val="Titolo6"/>
    <w:uiPriority w:val="9"/>
    <w:semiHidden/>
    <w:rsid w:val="005402AE"/>
    <w:rPr>
      <w:rFonts w:ascii="Calibri" w:eastAsia="Times New Roman" w:hAnsi="Calibri" w:cs="Times New Roman"/>
      <w:i/>
      <w:iCs/>
      <w:color w:val="595959"/>
      <w:kern w:val="2"/>
      <w:sz w:val="24"/>
      <w:szCs w:val="24"/>
      <w:lang w:val="es-ES"/>
    </w:rPr>
  </w:style>
  <w:style w:type="paragraph" w:styleId="Testocommento">
    <w:name w:val="annotation text"/>
    <w:basedOn w:val="Normale"/>
    <w:link w:val="TestocommentoCarattere"/>
    <w:uiPriority w:val="99"/>
    <w:unhideWhenUsed/>
    <w:rsid w:val="005402AE"/>
    <w:rPr>
      <w:rFonts w:ascii="Calibri" w:hAnsi="Calibri"/>
      <w:kern w:val="2"/>
      <w:sz w:val="20"/>
      <w:szCs w:val="20"/>
      <w:lang w:val="es-ES" w:eastAsia="en-US"/>
    </w:rPr>
  </w:style>
  <w:style w:type="character" w:customStyle="1" w:styleId="TestocommentoCarattere">
    <w:name w:val="Testo commento Carattere"/>
    <w:basedOn w:val="Carpredefinitoparagrafo"/>
    <w:link w:val="Testocommento"/>
    <w:uiPriority w:val="99"/>
    <w:rsid w:val="005402AE"/>
    <w:rPr>
      <w:rFonts w:ascii="Calibri" w:eastAsia="Times New Roman" w:hAnsi="Calibri" w:cs="Times New Roman"/>
      <w:kern w:val="2"/>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40</TotalTime>
  <Pages>18</Pages>
  <Words>11380</Words>
  <Characters>64866</Characters>
  <Application>Microsoft Office Word</Application>
  <DocSecurity>0</DocSecurity>
  <Lines>540</Lines>
  <Paragraphs>152</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76094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Alberto</dc:creator>
  <cp:lastModifiedBy>Alberto</cp:lastModifiedBy>
  <cp:revision>3</cp:revision>
  <dcterms:created xsi:type="dcterms:W3CDTF">2026-09-28T14:42:00Z</dcterms:created>
  <dcterms:modified xsi:type="dcterms:W3CDTF">2026-10-12T08:00:00Z</dcterms:modified>
</cp:coreProperties>
</file>